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B5" w:rsidRDefault="002D0521" w:rsidP="00481E59">
      <w:pPr>
        <w:pStyle w:val="Didascalia"/>
        <w:framePr w:w="10642" w:h="3526" w:hRule="exact" w:hSpace="141" w:wrap="around" w:vAnchor="text" w:hAnchor="page" w:x="589" w:y="-892"/>
      </w:pPr>
      <w:r>
        <w:t xml:space="preserve"> </w:t>
      </w:r>
      <w:r w:rsidR="00B058B5" w:rsidRPr="00B058B5">
        <w:drawing>
          <wp:inline distT="0" distB="0" distL="0" distR="0">
            <wp:extent cx="704850" cy="1019175"/>
            <wp:effectExtent l="19050" t="0" r="0" b="0"/>
            <wp:docPr id="6" name="Immagine 6"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ma"/>
                    <pic:cNvPicPr>
                      <a:picLocks noChangeAspect="1" noChangeArrowheads="1"/>
                    </pic:cNvPicPr>
                  </pic:nvPicPr>
                  <pic:blipFill>
                    <a:blip r:embed="rId6" cstate="print"/>
                    <a:srcRect/>
                    <a:stretch>
                      <a:fillRect/>
                    </a:stretch>
                  </pic:blipFill>
                  <pic:spPr bwMode="auto">
                    <a:xfrm>
                      <a:off x="0" y="0"/>
                      <a:ext cx="704850" cy="1019175"/>
                    </a:xfrm>
                    <a:prstGeom prst="rect">
                      <a:avLst/>
                    </a:prstGeom>
                    <a:noFill/>
                    <a:ln w="9525">
                      <a:noFill/>
                      <a:miter lim="800000"/>
                      <a:headEnd/>
                      <a:tailEnd/>
                    </a:ln>
                  </pic:spPr>
                </pic:pic>
              </a:graphicData>
            </a:graphic>
          </wp:inline>
        </w:drawing>
      </w:r>
    </w:p>
    <w:p w:rsidR="00B058B5" w:rsidRPr="005A28C5" w:rsidRDefault="00B058B5" w:rsidP="00481E59">
      <w:pPr>
        <w:pStyle w:val="Titolo1"/>
        <w:framePr w:w="10642" w:h="3526" w:hRule="exact" w:hSpace="141" w:wrap="around" w:vAnchor="text" w:hAnchor="page" w:x="589" w:y="-892"/>
        <w:jc w:val="center"/>
        <w:rPr>
          <w:rFonts w:ascii="Times New Roman" w:hAnsi="Times New Roman"/>
          <w:b w:val="0"/>
          <w:smallCaps/>
          <w:sz w:val="32"/>
          <w:szCs w:val="32"/>
        </w:rPr>
      </w:pPr>
      <w:r w:rsidRPr="005A28C5">
        <w:rPr>
          <w:rFonts w:ascii="Times New Roman" w:hAnsi="Times New Roman"/>
          <w:smallCaps/>
          <w:sz w:val="32"/>
          <w:szCs w:val="32"/>
        </w:rPr>
        <w:t xml:space="preserve">Comune di </w:t>
      </w:r>
      <w:proofErr w:type="spellStart"/>
      <w:r w:rsidRPr="005A28C5">
        <w:rPr>
          <w:rFonts w:ascii="Times New Roman" w:hAnsi="Times New Roman"/>
          <w:smallCaps/>
          <w:sz w:val="32"/>
          <w:szCs w:val="32"/>
        </w:rPr>
        <w:t>Tricase</w:t>
      </w:r>
      <w:proofErr w:type="spellEnd"/>
    </w:p>
    <w:p w:rsidR="00B058B5" w:rsidRPr="005A28C5" w:rsidRDefault="00B058B5" w:rsidP="00481E59">
      <w:pPr>
        <w:framePr w:w="10642" w:h="3526" w:hRule="exact" w:hSpace="141" w:wrap="around" w:vAnchor="text" w:hAnchor="page" w:x="589" w:y="-892"/>
        <w:jc w:val="center"/>
        <w:rPr>
          <w:b/>
        </w:rPr>
      </w:pPr>
      <w:r w:rsidRPr="005A28C5">
        <w:rPr>
          <w:b/>
        </w:rPr>
        <w:t>Provincia di Lecce</w:t>
      </w:r>
    </w:p>
    <w:p w:rsidR="00B058B5" w:rsidRPr="005A28C5" w:rsidRDefault="00B058B5" w:rsidP="00481E59">
      <w:pPr>
        <w:framePr w:w="10642" w:h="3526" w:hRule="exact" w:hSpace="141" w:wrap="around" w:vAnchor="text" w:hAnchor="page" w:x="589" w:y="-892"/>
        <w:jc w:val="center"/>
        <w:rPr>
          <w:sz w:val="16"/>
          <w:szCs w:val="16"/>
        </w:rPr>
      </w:pPr>
      <w:r w:rsidRPr="005A28C5">
        <w:rPr>
          <w:sz w:val="16"/>
          <w:szCs w:val="16"/>
        </w:rPr>
        <w:t xml:space="preserve">Piazza </w:t>
      </w:r>
      <w:proofErr w:type="spellStart"/>
      <w:r w:rsidRPr="005A28C5">
        <w:rPr>
          <w:sz w:val="16"/>
          <w:szCs w:val="16"/>
        </w:rPr>
        <w:t>Pisanelli</w:t>
      </w:r>
      <w:proofErr w:type="spellEnd"/>
      <w:r w:rsidRPr="005A28C5">
        <w:rPr>
          <w:sz w:val="16"/>
          <w:szCs w:val="16"/>
        </w:rPr>
        <w:t xml:space="preserve"> - 73039 </w:t>
      </w:r>
      <w:proofErr w:type="spellStart"/>
      <w:r w:rsidRPr="005A28C5">
        <w:rPr>
          <w:sz w:val="16"/>
          <w:szCs w:val="16"/>
        </w:rPr>
        <w:t>Tricase</w:t>
      </w:r>
      <w:proofErr w:type="spellEnd"/>
    </w:p>
    <w:p w:rsidR="00B058B5" w:rsidRPr="005A28C5" w:rsidRDefault="00B058B5" w:rsidP="00481E59">
      <w:pPr>
        <w:framePr w:w="10642" w:h="3526" w:hRule="exact" w:hSpace="141" w:wrap="around" w:vAnchor="text" w:hAnchor="page" w:x="589" w:y="-892"/>
        <w:jc w:val="center"/>
        <w:rPr>
          <w:sz w:val="16"/>
          <w:szCs w:val="16"/>
        </w:rPr>
      </w:pPr>
      <w:r w:rsidRPr="005A28C5">
        <w:rPr>
          <w:sz w:val="16"/>
          <w:szCs w:val="16"/>
        </w:rPr>
        <w:t>Tel. 0833777111 - Fax 0833777240</w:t>
      </w:r>
    </w:p>
    <w:p w:rsidR="002D0521" w:rsidRDefault="002D0521" w:rsidP="00481E59">
      <w:pPr>
        <w:pStyle w:val="Didascalia"/>
        <w:framePr w:w="10642" w:h="3526" w:hRule="exact" w:hSpace="141" w:wrap="around" w:vAnchor="text" w:hAnchor="page" w:x="589" w:y="-892"/>
      </w:pPr>
    </w:p>
    <w:p w:rsidR="002D0521" w:rsidRDefault="002D0521" w:rsidP="00481E59">
      <w:pPr>
        <w:pStyle w:val="Didascalia"/>
        <w:framePr w:w="10642" w:h="3526" w:hRule="exact" w:hSpace="141" w:wrap="around" w:vAnchor="text" w:hAnchor="page" w:x="589" w:y="-892"/>
        <w:jc w:val="left"/>
      </w:pPr>
      <w:r>
        <w:t xml:space="preserve">                           </w:t>
      </w:r>
    </w:p>
    <w:p w:rsidR="002D0521" w:rsidRDefault="002D0521">
      <w:pPr>
        <w:jc w:val="both"/>
      </w:pPr>
    </w:p>
    <w:p w:rsidR="00B5565A" w:rsidRDefault="00B5565A">
      <w:pPr>
        <w:ind w:left="2124" w:firstLine="708"/>
        <w:jc w:val="right"/>
      </w:pPr>
    </w:p>
    <w:p w:rsidR="00A1712E" w:rsidRDefault="00A1712E" w:rsidP="00461FD3">
      <w:pPr>
        <w:jc w:val="center"/>
        <w:rPr>
          <w:b/>
          <w:color w:val="000000" w:themeColor="text1"/>
          <w:sz w:val="28"/>
          <w:szCs w:val="28"/>
        </w:rPr>
      </w:pPr>
      <w:r w:rsidRPr="00481E59">
        <w:rPr>
          <w:b/>
          <w:color w:val="000000" w:themeColor="text1"/>
          <w:sz w:val="28"/>
          <w:szCs w:val="28"/>
        </w:rPr>
        <w:t xml:space="preserve">LAVORO MINIMO </w:t>
      </w:r>
      <w:proofErr w:type="spellStart"/>
      <w:r w:rsidRPr="00481E59">
        <w:rPr>
          <w:b/>
          <w:color w:val="000000" w:themeColor="text1"/>
          <w:sz w:val="28"/>
          <w:szCs w:val="28"/>
        </w:rPr>
        <w:t>DI</w:t>
      </w:r>
      <w:proofErr w:type="spellEnd"/>
      <w:r w:rsidRPr="00481E59">
        <w:rPr>
          <w:b/>
          <w:color w:val="000000" w:themeColor="text1"/>
          <w:sz w:val="28"/>
          <w:szCs w:val="28"/>
        </w:rPr>
        <w:t xml:space="preserve"> CITTADINANZA</w:t>
      </w:r>
    </w:p>
    <w:p w:rsidR="00481E59" w:rsidRDefault="00481E59" w:rsidP="00461FD3">
      <w:pPr>
        <w:jc w:val="center"/>
        <w:rPr>
          <w:sz w:val="28"/>
          <w:szCs w:val="28"/>
        </w:rPr>
      </w:pPr>
    </w:p>
    <w:p w:rsidR="00A1712E" w:rsidRPr="00481E59" w:rsidRDefault="00A1712E" w:rsidP="00461FD3">
      <w:pPr>
        <w:jc w:val="center"/>
        <w:rPr>
          <w:color w:val="000000" w:themeColor="text1"/>
          <w:sz w:val="28"/>
          <w:szCs w:val="28"/>
        </w:rPr>
      </w:pPr>
      <w:r w:rsidRPr="00481E59">
        <w:rPr>
          <w:color w:val="000000" w:themeColor="text1"/>
          <w:sz w:val="28"/>
          <w:szCs w:val="28"/>
        </w:rPr>
        <w:t>AVVISO PUBBLICO</w:t>
      </w:r>
    </w:p>
    <w:p w:rsidR="00083C2B" w:rsidRDefault="00083C2B" w:rsidP="00461FD3">
      <w:pPr>
        <w:jc w:val="center"/>
        <w:rPr>
          <w:sz w:val="28"/>
          <w:szCs w:val="28"/>
        </w:rPr>
      </w:pPr>
    </w:p>
    <w:p w:rsidR="00083C2B" w:rsidRDefault="00083C2B" w:rsidP="00461FD3">
      <w:pPr>
        <w:jc w:val="center"/>
        <w:rPr>
          <w:sz w:val="28"/>
          <w:szCs w:val="28"/>
        </w:rPr>
      </w:pPr>
    </w:p>
    <w:p w:rsidR="00461FD3" w:rsidRDefault="00461FD3" w:rsidP="00461FD3">
      <w:pPr>
        <w:jc w:val="center"/>
        <w:rPr>
          <w:sz w:val="28"/>
          <w:szCs w:val="28"/>
        </w:rPr>
      </w:pPr>
    </w:p>
    <w:p w:rsidR="00A1712E" w:rsidRDefault="00481E59" w:rsidP="00083C2B">
      <w:pPr>
        <w:jc w:val="both"/>
        <w:rPr>
          <w:sz w:val="28"/>
          <w:szCs w:val="28"/>
        </w:rPr>
      </w:pPr>
      <w:r>
        <w:rPr>
          <w:sz w:val="28"/>
          <w:szCs w:val="28"/>
        </w:rPr>
        <w:t xml:space="preserve">    </w:t>
      </w:r>
      <w:r w:rsidR="00A1712E">
        <w:rPr>
          <w:sz w:val="28"/>
          <w:szCs w:val="28"/>
        </w:rPr>
        <w:t>Il  perdurare della crisi a livello internazionale e nazionale, la conseguente difficoltà del sistema delle imprese a fuoriuscire nel medio termine, l’alto numero di lavoratori, già percettori di ammortizzatori sociali anche in deroga,  impone ai governi l’adozione di politiche attive del lavoro che, in stretta connessione con politiche formative e di sviluppo, consentano il reinserimento e l’inserimento dei lavoratori nel mercato del lavoro attraverso la valorizzazione e l’innovazione delle competenze professionali possedute.</w:t>
      </w:r>
    </w:p>
    <w:p w:rsidR="00083C2B" w:rsidRDefault="00481E59" w:rsidP="00083C2B">
      <w:pPr>
        <w:jc w:val="both"/>
        <w:rPr>
          <w:sz w:val="28"/>
          <w:szCs w:val="28"/>
        </w:rPr>
      </w:pPr>
      <w:r>
        <w:rPr>
          <w:sz w:val="28"/>
          <w:szCs w:val="28"/>
        </w:rPr>
        <w:t xml:space="preserve">    </w:t>
      </w:r>
      <w:r w:rsidR="00A1712E">
        <w:rPr>
          <w:sz w:val="28"/>
          <w:szCs w:val="28"/>
        </w:rPr>
        <w:t>Il Comune di</w:t>
      </w:r>
      <w:r w:rsidR="00083C2B">
        <w:rPr>
          <w:sz w:val="28"/>
          <w:szCs w:val="28"/>
        </w:rPr>
        <w:t xml:space="preserve">  </w:t>
      </w:r>
      <w:proofErr w:type="spellStart"/>
      <w:r w:rsidR="00B058B5">
        <w:rPr>
          <w:sz w:val="28"/>
          <w:szCs w:val="28"/>
        </w:rPr>
        <w:t>Tricase</w:t>
      </w:r>
      <w:proofErr w:type="spellEnd"/>
      <w:r w:rsidR="00B058B5">
        <w:rPr>
          <w:sz w:val="28"/>
          <w:szCs w:val="28"/>
        </w:rPr>
        <w:t xml:space="preserve"> </w:t>
      </w:r>
      <w:r w:rsidR="00A1712E">
        <w:rPr>
          <w:sz w:val="28"/>
          <w:szCs w:val="28"/>
        </w:rPr>
        <w:t>intende stilare una Banca dati destinata a selezionare soggetti residenti in loco, percettori di ammortizzatori sociali anche in deroga, allo scopo di intraprendere azioni volte al reinserimento lavorativo, così come previsto dal Protocollo “Piano straordinario per il lavoro. Per un lavoro di cittadinanza”, sottoscritto tra Regione Puglia, CGIL</w:t>
      </w:r>
      <w:r w:rsidR="00083C2B">
        <w:rPr>
          <w:sz w:val="28"/>
          <w:szCs w:val="28"/>
        </w:rPr>
        <w:t>,</w:t>
      </w:r>
      <w:r w:rsidR="00A1712E">
        <w:rPr>
          <w:sz w:val="28"/>
          <w:szCs w:val="28"/>
        </w:rPr>
        <w:t xml:space="preserve"> CISL</w:t>
      </w:r>
      <w:r w:rsidR="00083C2B">
        <w:rPr>
          <w:sz w:val="28"/>
          <w:szCs w:val="28"/>
        </w:rPr>
        <w:t>,</w:t>
      </w:r>
      <w:r w:rsidR="00A1712E">
        <w:rPr>
          <w:sz w:val="28"/>
          <w:szCs w:val="28"/>
        </w:rPr>
        <w:t xml:space="preserve">UIL e Comune </w:t>
      </w:r>
      <w:proofErr w:type="spellStart"/>
      <w:r w:rsidR="00A1712E">
        <w:rPr>
          <w:sz w:val="28"/>
          <w:szCs w:val="28"/>
        </w:rPr>
        <w:t>di</w:t>
      </w:r>
      <w:r w:rsidR="006068C4">
        <w:rPr>
          <w:sz w:val="28"/>
          <w:szCs w:val="28"/>
        </w:rPr>
        <w:t>Tricase</w:t>
      </w:r>
      <w:proofErr w:type="spellEnd"/>
      <w:r w:rsidR="00083C2B">
        <w:rPr>
          <w:sz w:val="28"/>
          <w:szCs w:val="28"/>
        </w:rPr>
        <w:t>.</w:t>
      </w:r>
    </w:p>
    <w:p w:rsidR="00083C2B" w:rsidRDefault="00083C2B" w:rsidP="00083C2B">
      <w:pPr>
        <w:jc w:val="both"/>
        <w:rPr>
          <w:sz w:val="28"/>
          <w:szCs w:val="28"/>
        </w:rPr>
      </w:pPr>
    </w:p>
    <w:p w:rsidR="00A1712E" w:rsidRDefault="00A1712E" w:rsidP="00083C2B">
      <w:pPr>
        <w:jc w:val="both"/>
        <w:rPr>
          <w:sz w:val="28"/>
          <w:szCs w:val="28"/>
        </w:rPr>
      </w:pPr>
      <w:r>
        <w:rPr>
          <w:sz w:val="28"/>
          <w:szCs w:val="28"/>
        </w:rPr>
        <w:t xml:space="preserve"> Possono presentare domanda:</w:t>
      </w:r>
    </w:p>
    <w:p w:rsidR="00083C2B" w:rsidRDefault="00083C2B" w:rsidP="00083C2B">
      <w:pPr>
        <w:jc w:val="both"/>
        <w:rPr>
          <w:sz w:val="28"/>
          <w:szCs w:val="28"/>
        </w:rPr>
      </w:pPr>
    </w:p>
    <w:p w:rsidR="00A1712E" w:rsidRDefault="00A1712E" w:rsidP="00083C2B">
      <w:pPr>
        <w:pStyle w:val="Paragrafoelenco"/>
        <w:numPr>
          <w:ilvl w:val="0"/>
          <w:numId w:val="2"/>
        </w:numPr>
        <w:jc w:val="both"/>
        <w:rPr>
          <w:sz w:val="28"/>
          <w:szCs w:val="28"/>
        </w:rPr>
      </w:pPr>
      <w:r>
        <w:rPr>
          <w:sz w:val="28"/>
          <w:szCs w:val="28"/>
        </w:rPr>
        <w:t>Lavoratori percettori di ammortizzatori sociali, anche in deroga;</w:t>
      </w:r>
    </w:p>
    <w:p w:rsidR="00A1712E" w:rsidRDefault="00A1712E" w:rsidP="00083C2B">
      <w:pPr>
        <w:pStyle w:val="Paragrafoelenco"/>
        <w:numPr>
          <w:ilvl w:val="0"/>
          <w:numId w:val="2"/>
        </w:numPr>
        <w:jc w:val="both"/>
        <w:rPr>
          <w:sz w:val="28"/>
          <w:szCs w:val="28"/>
        </w:rPr>
      </w:pPr>
      <w:r>
        <w:rPr>
          <w:sz w:val="28"/>
          <w:szCs w:val="28"/>
        </w:rPr>
        <w:t>Lavoratori percettori di cassa integrazione che provengono da aziende cessate a 0 ore;</w:t>
      </w:r>
    </w:p>
    <w:p w:rsidR="00A1712E" w:rsidRDefault="00A1712E" w:rsidP="00083C2B">
      <w:pPr>
        <w:pStyle w:val="Paragrafoelenco"/>
        <w:numPr>
          <w:ilvl w:val="0"/>
          <w:numId w:val="2"/>
        </w:numPr>
        <w:jc w:val="both"/>
        <w:rPr>
          <w:sz w:val="28"/>
          <w:szCs w:val="28"/>
        </w:rPr>
      </w:pPr>
      <w:r>
        <w:rPr>
          <w:sz w:val="28"/>
          <w:szCs w:val="28"/>
        </w:rPr>
        <w:t>Lavoratori percettori di indennità di mobilità ordinaria ex legge 223/91.</w:t>
      </w:r>
    </w:p>
    <w:p w:rsidR="00A1712E" w:rsidRDefault="00A1712E" w:rsidP="00083C2B">
      <w:pPr>
        <w:jc w:val="both"/>
        <w:rPr>
          <w:sz w:val="28"/>
          <w:szCs w:val="28"/>
        </w:rPr>
      </w:pPr>
      <w:r>
        <w:rPr>
          <w:sz w:val="28"/>
          <w:szCs w:val="28"/>
        </w:rPr>
        <w:t>Al lavoratore già percettore di ammortizzatore, sarà garantita la polizza assicurativa INAIL e un percorso di  riqualificazione.</w:t>
      </w:r>
    </w:p>
    <w:p w:rsidR="00083C2B" w:rsidRDefault="00083C2B" w:rsidP="00083C2B">
      <w:pPr>
        <w:jc w:val="both"/>
        <w:rPr>
          <w:sz w:val="28"/>
          <w:szCs w:val="28"/>
        </w:rPr>
      </w:pPr>
    </w:p>
    <w:p w:rsidR="00A1712E" w:rsidRDefault="00A1712E" w:rsidP="00083C2B">
      <w:pPr>
        <w:jc w:val="both"/>
        <w:rPr>
          <w:sz w:val="28"/>
          <w:szCs w:val="28"/>
        </w:rPr>
      </w:pPr>
      <w:r>
        <w:rPr>
          <w:sz w:val="28"/>
          <w:szCs w:val="28"/>
        </w:rPr>
        <w:t xml:space="preserve">I Comuni si impegnano, relativamente agli interventi finanziati dalla Regione Puglia, a prevedere, a parità di merito, un punteggio aggiuntivo a favore delle imprese aggiudicatarie che si impegnano ad assumere una quota di lavoratori non inferiore al </w:t>
      </w:r>
      <w:r>
        <w:rPr>
          <w:sz w:val="28"/>
          <w:szCs w:val="28"/>
        </w:rPr>
        <w:lastRenderedPageBreak/>
        <w:t>20% dalla banca dati  dei percettori di ammortizzatori social</w:t>
      </w:r>
      <w:r w:rsidR="00083C2B">
        <w:rPr>
          <w:sz w:val="28"/>
          <w:szCs w:val="28"/>
        </w:rPr>
        <w:t>i</w:t>
      </w:r>
      <w:r>
        <w:rPr>
          <w:sz w:val="28"/>
          <w:szCs w:val="28"/>
        </w:rPr>
        <w:t xml:space="preserve"> e in deroga utilizzati dai </w:t>
      </w:r>
      <w:r w:rsidR="00083C2B">
        <w:rPr>
          <w:sz w:val="28"/>
          <w:szCs w:val="28"/>
        </w:rPr>
        <w:t>C</w:t>
      </w:r>
      <w:r>
        <w:rPr>
          <w:sz w:val="28"/>
          <w:szCs w:val="28"/>
        </w:rPr>
        <w:t>omuni.</w:t>
      </w:r>
    </w:p>
    <w:p w:rsidR="00083C2B" w:rsidRDefault="00083C2B" w:rsidP="00083C2B">
      <w:pPr>
        <w:jc w:val="both"/>
        <w:rPr>
          <w:sz w:val="28"/>
          <w:szCs w:val="28"/>
        </w:rPr>
      </w:pPr>
    </w:p>
    <w:p w:rsidR="00A1712E" w:rsidRDefault="00A1712E" w:rsidP="00083C2B">
      <w:pPr>
        <w:jc w:val="both"/>
        <w:rPr>
          <w:sz w:val="28"/>
          <w:szCs w:val="28"/>
        </w:rPr>
      </w:pPr>
      <w:r>
        <w:rPr>
          <w:sz w:val="28"/>
          <w:szCs w:val="28"/>
        </w:rPr>
        <w:t xml:space="preserve">Le domande saranno esaminate da una apposita </w:t>
      </w:r>
      <w:r w:rsidR="00083C2B">
        <w:rPr>
          <w:sz w:val="28"/>
          <w:szCs w:val="28"/>
        </w:rPr>
        <w:t>C</w:t>
      </w:r>
      <w:r>
        <w:rPr>
          <w:sz w:val="28"/>
          <w:szCs w:val="28"/>
        </w:rPr>
        <w:t>ommissione istituita dal Comune che provvederà a stilare un elenco sulla base dei seguenti criteri:</w:t>
      </w:r>
    </w:p>
    <w:p w:rsidR="00A1712E" w:rsidRDefault="00A1712E" w:rsidP="00083C2B">
      <w:pPr>
        <w:pStyle w:val="Paragrafoelenco"/>
        <w:numPr>
          <w:ilvl w:val="0"/>
          <w:numId w:val="2"/>
        </w:numPr>
        <w:jc w:val="both"/>
        <w:rPr>
          <w:sz w:val="28"/>
          <w:szCs w:val="28"/>
        </w:rPr>
      </w:pPr>
      <w:r>
        <w:rPr>
          <w:sz w:val="28"/>
          <w:szCs w:val="28"/>
        </w:rPr>
        <w:t>Carico familiare</w:t>
      </w:r>
    </w:p>
    <w:p w:rsidR="00A1712E" w:rsidRDefault="00A1712E" w:rsidP="00083C2B">
      <w:pPr>
        <w:pStyle w:val="Paragrafoelenco"/>
        <w:numPr>
          <w:ilvl w:val="0"/>
          <w:numId w:val="2"/>
        </w:numPr>
        <w:jc w:val="both"/>
        <w:rPr>
          <w:sz w:val="28"/>
          <w:szCs w:val="28"/>
        </w:rPr>
      </w:pPr>
      <w:r>
        <w:rPr>
          <w:sz w:val="28"/>
          <w:szCs w:val="28"/>
        </w:rPr>
        <w:t>Figli minori</w:t>
      </w:r>
    </w:p>
    <w:p w:rsidR="00A1712E" w:rsidRDefault="00A1712E" w:rsidP="00083C2B">
      <w:pPr>
        <w:pStyle w:val="Paragrafoelenco"/>
        <w:numPr>
          <w:ilvl w:val="0"/>
          <w:numId w:val="2"/>
        </w:numPr>
        <w:jc w:val="both"/>
        <w:rPr>
          <w:sz w:val="28"/>
          <w:szCs w:val="28"/>
        </w:rPr>
      </w:pPr>
      <w:r>
        <w:rPr>
          <w:sz w:val="28"/>
          <w:szCs w:val="28"/>
        </w:rPr>
        <w:t>Presenza nel nucleo familiare  di soggetti diversamente abili</w:t>
      </w:r>
    </w:p>
    <w:p w:rsidR="00A1712E" w:rsidRDefault="00A1712E" w:rsidP="00083C2B">
      <w:pPr>
        <w:pStyle w:val="Paragrafoelenco"/>
        <w:numPr>
          <w:ilvl w:val="0"/>
          <w:numId w:val="2"/>
        </w:numPr>
        <w:jc w:val="both"/>
        <w:rPr>
          <w:sz w:val="28"/>
          <w:szCs w:val="28"/>
        </w:rPr>
      </w:pPr>
      <w:r>
        <w:rPr>
          <w:sz w:val="28"/>
          <w:szCs w:val="28"/>
        </w:rPr>
        <w:t>ISEE</w:t>
      </w:r>
    </w:p>
    <w:p w:rsidR="00100F67" w:rsidRDefault="00A1712E" w:rsidP="00083C2B">
      <w:pPr>
        <w:ind w:left="360"/>
        <w:jc w:val="both"/>
        <w:rPr>
          <w:sz w:val="28"/>
          <w:szCs w:val="28"/>
        </w:rPr>
      </w:pPr>
      <w:r>
        <w:rPr>
          <w:sz w:val="28"/>
          <w:szCs w:val="28"/>
        </w:rPr>
        <w:t xml:space="preserve">Le domande dovranno pervenire </w:t>
      </w:r>
      <w:r w:rsidRPr="00694239">
        <w:rPr>
          <w:b/>
          <w:sz w:val="28"/>
          <w:szCs w:val="28"/>
        </w:rPr>
        <w:t xml:space="preserve">entro </w:t>
      </w:r>
      <w:r w:rsidR="00694239" w:rsidRPr="00694239">
        <w:rPr>
          <w:b/>
          <w:sz w:val="28"/>
          <w:szCs w:val="28"/>
        </w:rPr>
        <w:t xml:space="preserve"> il 30 Ottobre 2014</w:t>
      </w:r>
      <w:r>
        <w:rPr>
          <w:sz w:val="28"/>
          <w:szCs w:val="28"/>
        </w:rPr>
        <w:t xml:space="preserve"> come da schema di domanda allegata al presente bando. </w:t>
      </w:r>
    </w:p>
    <w:p w:rsidR="00100F67" w:rsidRDefault="00100F67" w:rsidP="00083C2B">
      <w:pPr>
        <w:ind w:left="360"/>
        <w:jc w:val="both"/>
        <w:rPr>
          <w:sz w:val="28"/>
          <w:szCs w:val="28"/>
        </w:rPr>
      </w:pPr>
    </w:p>
    <w:p w:rsidR="00A1712E" w:rsidRDefault="00B058B5" w:rsidP="00083C2B">
      <w:pPr>
        <w:ind w:left="360"/>
        <w:jc w:val="both"/>
        <w:rPr>
          <w:sz w:val="28"/>
          <w:szCs w:val="28"/>
        </w:rPr>
      </w:pPr>
      <w:proofErr w:type="spellStart"/>
      <w:r>
        <w:rPr>
          <w:sz w:val="28"/>
          <w:szCs w:val="28"/>
        </w:rPr>
        <w:t>Tricase</w:t>
      </w:r>
      <w:proofErr w:type="spellEnd"/>
      <w:r w:rsidR="00100F67">
        <w:rPr>
          <w:sz w:val="28"/>
          <w:szCs w:val="28"/>
        </w:rPr>
        <w:t xml:space="preserve">, lì </w:t>
      </w:r>
      <w:r w:rsidR="00481E59">
        <w:rPr>
          <w:sz w:val="28"/>
          <w:szCs w:val="28"/>
        </w:rPr>
        <w:t>2</w:t>
      </w:r>
      <w:r w:rsidR="00100F67">
        <w:rPr>
          <w:sz w:val="28"/>
          <w:szCs w:val="28"/>
        </w:rPr>
        <w:t>9.09.2014</w:t>
      </w:r>
      <w:r w:rsidR="00A1712E">
        <w:rPr>
          <w:sz w:val="28"/>
          <w:szCs w:val="28"/>
        </w:rPr>
        <w:t xml:space="preserve">  </w:t>
      </w:r>
    </w:p>
    <w:p w:rsidR="00083C2B" w:rsidRDefault="002D0521">
      <w:r>
        <w:tab/>
      </w:r>
      <w:r>
        <w:tab/>
      </w:r>
      <w:r>
        <w:tab/>
      </w:r>
      <w:r>
        <w:tab/>
      </w:r>
      <w:r>
        <w:tab/>
      </w:r>
      <w:r>
        <w:tab/>
      </w:r>
      <w:r>
        <w:tab/>
      </w:r>
      <w:r>
        <w:tab/>
        <w:t xml:space="preserve">     </w:t>
      </w:r>
    </w:p>
    <w:p w:rsidR="00083C2B" w:rsidRDefault="00694239">
      <w:r>
        <w:tab/>
      </w:r>
      <w:r>
        <w:tab/>
      </w:r>
      <w:r>
        <w:tab/>
      </w:r>
      <w:r>
        <w:tab/>
      </w:r>
      <w:r>
        <w:tab/>
      </w:r>
      <w:r>
        <w:tab/>
      </w:r>
      <w:r>
        <w:tab/>
      </w:r>
      <w:r>
        <w:tab/>
      </w:r>
      <w:r>
        <w:tab/>
      </w:r>
      <w:r>
        <w:tab/>
        <w:t>Il Sindaco</w:t>
      </w:r>
    </w:p>
    <w:p w:rsidR="002D0521" w:rsidRDefault="00793BBE" w:rsidP="00083C2B">
      <w:pPr>
        <w:ind w:left="5664" w:firstLine="708"/>
      </w:pPr>
      <w:r>
        <w:t xml:space="preserve">  </w:t>
      </w:r>
      <w:r w:rsidR="002D0521">
        <w:t xml:space="preserve"> </w:t>
      </w:r>
      <w:r w:rsidR="00B058B5">
        <w:t xml:space="preserve">Antonio </w:t>
      </w:r>
      <w:r>
        <w:t xml:space="preserve">G. </w:t>
      </w:r>
      <w:r w:rsidR="00B058B5">
        <w:t>Coppola</w:t>
      </w:r>
    </w:p>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461FD3" w:rsidRDefault="00461FD3"/>
    <w:p w:rsidR="008C44B9" w:rsidRDefault="008C44B9"/>
    <w:p w:rsidR="008C44B9" w:rsidRDefault="008C44B9"/>
    <w:p w:rsidR="008C44B9" w:rsidRDefault="008C44B9"/>
    <w:p w:rsidR="008C44B9" w:rsidRDefault="008C44B9"/>
    <w:p w:rsidR="008C44B9" w:rsidRDefault="008C44B9"/>
    <w:p w:rsidR="00461FD3" w:rsidRDefault="00461FD3"/>
    <w:p w:rsidR="00461FD3" w:rsidRDefault="00461FD3"/>
    <w:p w:rsidR="00461FD3" w:rsidRDefault="00461FD3"/>
    <w:p w:rsidR="00461FD3" w:rsidRDefault="00461FD3"/>
    <w:sectPr w:rsidR="00461FD3" w:rsidSect="00391EA3">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5D4F"/>
    <w:multiLevelType w:val="hybridMultilevel"/>
    <w:tmpl w:val="EFA653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260DC7"/>
    <w:multiLevelType w:val="hybridMultilevel"/>
    <w:tmpl w:val="CF708C38"/>
    <w:lvl w:ilvl="0" w:tplc="51CA3AB0">
      <w:numFmt w:val="bullet"/>
      <w:lvlText w:val="-"/>
      <w:lvlJc w:val="left"/>
      <w:pPr>
        <w:ind w:left="72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8E30292"/>
    <w:multiLevelType w:val="hybridMultilevel"/>
    <w:tmpl w:val="096A87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547D775E"/>
    <w:multiLevelType w:val="hybridMultilevel"/>
    <w:tmpl w:val="42AEA1CA"/>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294DDC"/>
    <w:rsid w:val="0003226A"/>
    <w:rsid w:val="00083C2B"/>
    <w:rsid w:val="00100F67"/>
    <w:rsid w:val="00294DDC"/>
    <w:rsid w:val="002B0807"/>
    <w:rsid w:val="002D0521"/>
    <w:rsid w:val="002E67FB"/>
    <w:rsid w:val="003671B1"/>
    <w:rsid w:val="00391EA3"/>
    <w:rsid w:val="003C1239"/>
    <w:rsid w:val="00461FD3"/>
    <w:rsid w:val="00472170"/>
    <w:rsid w:val="00481E59"/>
    <w:rsid w:val="005B7DD2"/>
    <w:rsid w:val="005C5671"/>
    <w:rsid w:val="006068C4"/>
    <w:rsid w:val="00627838"/>
    <w:rsid w:val="00682B5F"/>
    <w:rsid w:val="006860E5"/>
    <w:rsid w:val="00694239"/>
    <w:rsid w:val="0074564C"/>
    <w:rsid w:val="00793BBE"/>
    <w:rsid w:val="00854DBE"/>
    <w:rsid w:val="00873839"/>
    <w:rsid w:val="008A513C"/>
    <w:rsid w:val="008C44B9"/>
    <w:rsid w:val="00921C78"/>
    <w:rsid w:val="00A1712E"/>
    <w:rsid w:val="00A82C8F"/>
    <w:rsid w:val="00AB0E9B"/>
    <w:rsid w:val="00B058B5"/>
    <w:rsid w:val="00B5565A"/>
    <w:rsid w:val="00B62869"/>
    <w:rsid w:val="00B73578"/>
    <w:rsid w:val="00C32175"/>
    <w:rsid w:val="00CC3F30"/>
    <w:rsid w:val="00DB548B"/>
    <w:rsid w:val="00DC0DB0"/>
    <w:rsid w:val="00DE7978"/>
    <w:rsid w:val="00DF1FE6"/>
    <w:rsid w:val="00F32FE3"/>
    <w:rsid w:val="00FA2B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EA3"/>
    <w:rPr>
      <w:sz w:val="24"/>
      <w:szCs w:val="24"/>
    </w:rPr>
  </w:style>
  <w:style w:type="paragraph" w:styleId="Titolo1">
    <w:name w:val="heading 1"/>
    <w:basedOn w:val="Normale"/>
    <w:next w:val="Normale"/>
    <w:link w:val="Titolo1Carattere"/>
    <w:qFormat/>
    <w:rsid w:val="00B05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8">
    <w:name w:val="heading 8"/>
    <w:basedOn w:val="Normale"/>
    <w:next w:val="Normale"/>
    <w:qFormat/>
    <w:rsid w:val="00391EA3"/>
    <w:pPr>
      <w:keepNext/>
      <w:spacing w:line="360" w:lineRule="auto"/>
      <w:jc w:val="right"/>
      <w:outlineLvl w:val="7"/>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391EA3"/>
    <w:pPr>
      <w:jc w:val="center"/>
    </w:pPr>
    <w:rPr>
      <w:rFonts w:ascii="Arial" w:hAnsi="Arial"/>
      <w:b/>
      <w:noProof/>
      <w:sz w:val="32"/>
      <w:szCs w:val="20"/>
    </w:rPr>
  </w:style>
  <w:style w:type="character" w:styleId="Collegamentoipertestuale">
    <w:name w:val="Hyperlink"/>
    <w:basedOn w:val="Carpredefinitoparagrafo"/>
    <w:rsid w:val="00391EA3"/>
    <w:rPr>
      <w:color w:val="0000FF"/>
      <w:u w:val="single"/>
    </w:rPr>
  </w:style>
  <w:style w:type="paragraph" w:styleId="Corpodeltesto">
    <w:name w:val="Body Text"/>
    <w:basedOn w:val="Normale"/>
    <w:rsid w:val="00391EA3"/>
    <w:pPr>
      <w:jc w:val="both"/>
    </w:pPr>
  </w:style>
  <w:style w:type="paragraph" w:styleId="Corpodeltesto2">
    <w:name w:val="Body Text 2"/>
    <w:basedOn w:val="Normale"/>
    <w:rsid w:val="00391EA3"/>
    <w:pPr>
      <w:spacing w:line="360" w:lineRule="auto"/>
      <w:jc w:val="both"/>
    </w:pPr>
    <w:rPr>
      <w:szCs w:val="20"/>
    </w:rPr>
  </w:style>
  <w:style w:type="paragraph" w:styleId="Testofumetto">
    <w:name w:val="Balloon Text"/>
    <w:basedOn w:val="Normale"/>
    <w:semiHidden/>
    <w:rsid w:val="00294DDC"/>
    <w:rPr>
      <w:rFonts w:ascii="Tahoma" w:hAnsi="Tahoma" w:cs="Tahoma"/>
      <w:sz w:val="16"/>
      <w:szCs w:val="16"/>
    </w:rPr>
  </w:style>
  <w:style w:type="paragraph" w:styleId="Paragrafoelenco">
    <w:name w:val="List Paragraph"/>
    <w:basedOn w:val="Normale"/>
    <w:uiPriority w:val="34"/>
    <w:qFormat/>
    <w:rsid w:val="00A171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rsid w:val="00B058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0522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05CD0-A992-466C-8D3B-5805BFFD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 minerva</cp:lastModifiedBy>
  <cp:revision>7</cp:revision>
  <cp:lastPrinted>2014-09-19T09:17:00Z</cp:lastPrinted>
  <dcterms:created xsi:type="dcterms:W3CDTF">2014-09-23T08:57:00Z</dcterms:created>
  <dcterms:modified xsi:type="dcterms:W3CDTF">2014-09-29T11:00:00Z</dcterms:modified>
</cp:coreProperties>
</file>