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D9" w:rsidRPr="00F12B2B" w:rsidRDefault="005E6B51" w:rsidP="004051D9">
      <w:pPr>
        <w:rPr>
          <w:b/>
          <w:sz w:val="28"/>
          <w:szCs w:val="28"/>
        </w:rPr>
      </w:pPr>
      <w:r w:rsidRPr="00F12B2B">
        <w:rPr>
          <w:b/>
          <w:sz w:val="28"/>
          <w:szCs w:val="28"/>
        </w:rPr>
        <w:t xml:space="preserve">Elenco 1° semestre </w:t>
      </w:r>
      <w:r w:rsidR="00E24D0A" w:rsidRPr="00F12B2B">
        <w:rPr>
          <w:b/>
          <w:sz w:val="28"/>
          <w:szCs w:val="28"/>
        </w:rPr>
        <w:t xml:space="preserve"> 2014</w:t>
      </w:r>
      <w:r w:rsidR="004051D9" w:rsidRPr="00F12B2B">
        <w:rPr>
          <w:b/>
          <w:sz w:val="28"/>
          <w:szCs w:val="28"/>
        </w:rPr>
        <w:t xml:space="preserve"> </w:t>
      </w:r>
      <w:r w:rsidRPr="00F12B2B">
        <w:rPr>
          <w:b/>
          <w:sz w:val="28"/>
          <w:szCs w:val="28"/>
        </w:rPr>
        <w:t>delle delibere di Consiglio Comunale</w:t>
      </w:r>
      <w:r w:rsidR="004051D9" w:rsidRPr="00F12B2B">
        <w:rPr>
          <w:b/>
          <w:sz w:val="28"/>
          <w:szCs w:val="28"/>
        </w:rPr>
        <w:t xml:space="preserve"> che si riferiscono a:</w:t>
      </w:r>
    </w:p>
    <w:p w:rsidR="004051D9" w:rsidRPr="00F12B2B" w:rsidRDefault="00874D6C" w:rsidP="004051D9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Modalità di scelta del contraente per lavori, forniture e servizi</w:t>
      </w:r>
    </w:p>
    <w:p w:rsidR="004051D9" w:rsidRPr="0085031C" w:rsidRDefault="004051D9" w:rsidP="004051D9">
      <w:pPr>
        <w:rPr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826"/>
        <w:gridCol w:w="1401"/>
        <w:gridCol w:w="1134"/>
        <w:gridCol w:w="1417"/>
        <w:gridCol w:w="6096"/>
        <w:gridCol w:w="1134"/>
        <w:gridCol w:w="1495"/>
      </w:tblGrid>
      <w:tr w:rsidR="004051D9" w:rsidRPr="0060502D" w:rsidTr="00D6271E">
        <w:tc>
          <w:tcPr>
            <w:tcW w:w="1826" w:type="dxa"/>
          </w:tcPr>
          <w:p w:rsidR="004051D9" w:rsidRPr="0060502D" w:rsidRDefault="004051D9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Organo di indirizzo politico che emana il provvedimento</w:t>
            </w:r>
          </w:p>
        </w:tc>
        <w:tc>
          <w:tcPr>
            <w:tcW w:w="1401" w:type="dxa"/>
          </w:tcPr>
          <w:p w:rsidR="004051D9" w:rsidRPr="0060502D" w:rsidRDefault="00381525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 xml:space="preserve">TIPOLOGIA </w:t>
            </w:r>
            <w:r w:rsidR="004051D9" w:rsidRPr="0060502D">
              <w:rPr>
                <w:b/>
                <w:sz w:val="18"/>
                <w:szCs w:val="18"/>
              </w:rPr>
              <w:t xml:space="preserve">ATTO </w:t>
            </w:r>
          </w:p>
        </w:tc>
        <w:tc>
          <w:tcPr>
            <w:tcW w:w="1134" w:type="dxa"/>
          </w:tcPr>
          <w:p w:rsidR="004051D9" w:rsidRPr="0060502D" w:rsidRDefault="004051D9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NUMERO E DATA ATTO</w:t>
            </w:r>
          </w:p>
        </w:tc>
        <w:tc>
          <w:tcPr>
            <w:tcW w:w="1417" w:type="dxa"/>
          </w:tcPr>
          <w:p w:rsidR="004051D9" w:rsidRPr="0060502D" w:rsidRDefault="004051D9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OGGETTO</w:t>
            </w:r>
          </w:p>
        </w:tc>
        <w:tc>
          <w:tcPr>
            <w:tcW w:w="6096" w:type="dxa"/>
          </w:tcPr>
          <w:p w:rsidR="004051D9" w:rsidRPr="0060502D" w:rsidRDefault="004051D9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CONTENUTO</w:t>
            </w:r>
          </w:p>
        </w:tc>
        <w:tc>
          <w:tcPr>
            <w:tcW w:w="1134" w:type="dxa"/>
          </w:tcPr>
          <w:p w:rsidR="004051D9" w:rsidRPr="0060502D" w:rsidRDefault="004051D9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 xml:space="preserve">SPESA PREVISTA </w:t>
            </w:r>
          </w:p>
        </w:tc>
        <w:tc>
          <w:tcPr>
            <w:tcW w:w="1495" w:type="dxa"/>
          </w:tcPr>
          <w:p w:rsidR="004051D9" w:rsidRPr="0060502D" w:rsidRDefault="004051D9" w:rsidP="00662A4B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ESTREMI AI PRINCIPALI DOCUMENTI CONTENUTI NEL FASCICOLO RELATIVO AL PROCEDIMENTO</w:t>
            </w:r>
          </w:p>
        </w:tc>
      </w:tr>
      <w:tr w:rsidR="00411C0A" w:rsidRPr="0060502D" w:rsidTr="00D6271E">
        <w:tc>
          <w:tcPr>
            <w:tcW w:w="1826" w:type="dxa"/>
          </w:tcPr>
          <w:p w:rsidR="00411C0A" w:rsidRPr="0060502D" w:rsidRDefault="00411C0A" w:rsidP="00EC7DEA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Consiglio Comunale</w:t>
            </w:r>
          </w:p>
        </w:tc>
        <w:tc>
          <w:tcPr>
            <w:tcW w:w="1401" w:type="dxa"/>
          </w:tcPr>
          <w:p w:rsidR="00411C0A" w:rsidRPr="0060502D" w:rsidRDefault="00411C0A" w:rsidP="00EC7DEA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Delibera</w:t>
            </w:r>
          </w:p>
        </w:tc>
        <w:tc>
          <w:tcPr>
            <w:tcW w:w="1134" w:type="dxa"/>
          </w:tcPr>
          <w:p w:rsidR="00411C0A" w:rsidRPr="0060502D" w:rsidRDefault="00E9554E" w:rsidP="006B1FF8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>n.8 del 20.3.2014</w:t>
            </w:r>
          </w:p>
        </w:tc>
        <w:tc>
          <w:tcPr>
            <w:tcW w:w="1417" w:type="dxa"/>
          </w:tcPr>
          <w:p w:rsidR="00411C0A" w:rsidRPr="0060502D" w:rsidRDefault="00E9554E" w:rsidP="006B1FF8">
            <w:pPr>
              <w:rPr>
                <w:b/>
                <w:sz w:val="18"/>
                <w:szCs w:val="18"/>
              </w:rPr>
            </w:pPr>
            <w:r w:rsidRPr="0060502D">
              <w:rPr>
                <w:b/>
                <w:sz w:val="18"/>
                <w:szCs w:val="18"/>
              </w:rPr>
              <w:t xml:space="preserve">REGOLAMENTO PER L'ESECUZIONE </w:t>
            </w:r>
            <w:proofErr w:type="spellStart"/>
            <w:r w:rsidRPr="0060502D">
              <w:rPr>
                <w:b/>
                <w:sz w:val="18"/>
                <w:szCs w:val="18"/>
              </w:rPr>
              <w:t>DI</w:t>
            </w:r>
            <w:proofErr w:type="spellEnd"/>
            <w:r w:rsidRPr="0060502D">
              <w:rPr>
                <w:b/>
                <w:sz w:val="18"/>
                <w:szCs w:val="18"/>
              </w:rPr>
              <w:t xml:space="preserve"> LAVORI, FORNITURE E SERVIZI IN ECONOMIA - MODIFICHE.</w:t>
            </w:r>
          </w:p>
        </w:tc>
        <w:tc>
          <w:tcPr>
            <w:tcW w:w="6096" w:type="dxa"/>
          </w:tcPr>
          <w:p w:rsidR="00E9554E" w:rsidRPr="0060502D" w:rsidRDefault="00E9554E" w:rsidP="00E9554E">
            <w:pPr>
              <w:jc w:val="center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IL CONSIGLIO COMUNALE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Premesso: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che con deliberazione del C.C. n.11 del 9.3.2009 è stato approvato il “</w:t>
            </w:r>
            <w:r w:rsidRPr="0060502D">
              <w:rPr>
                <w:rFonts w:cs="Arial"/>
                <w:b/>
                <w:sz w:val="18"/>
                <w:szCs w:val="18"/>
              </w:rPr>
              <w:t>Regolamento per l’esecuzione di lavori, forniture e servizi in economia</w:t>
            </w:r>
            <w:r w:rsidRPr="0060502D">
              <w:rPr>
                <w:rFonts w:cs="Arial"/>
                <w:sz w:val="18"/>
                <w:szCs w:val="18"/>
              </w:rPr>
              <w:t xml:space="preserve">”, adottato in conformità delle disposizioni contenute nel </w:t>
            </w:r>
            <w:r w:rsidRPr="0060502D">
              <w:rPr>
                <w:rFonts w:cs="Arial"/>
                <w:b/>
                <w:sz w:val="18"/>
                <w:szCs w:val="18"/>
              </w:rPr>
              <w:t>Decreto Legislativo n.163/2006 – Codice dei contratti pubblici</w:t>
            </w:r>
            <w:r w:rsidRPr="0060502D">
              <w:rPr>
                <w:rFonts w:cs="Arial"/>
                <w:sz w:val="18"/>
                <w:szCs w:val="18"/>
              </w:rPr>
              <w:t xml:space="preserve"> - e successive modificazioni, disciplinante le procedure per l’affidamento di lavori, servizi e forniture da parte delle Pubbliche Amministrazioni, tra le quali l’affidamento diretto di lavori, servizi e forniture per il quale era stato fissato il tetto di 20.000,00 euro  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Atteso che l’</w:t>
            </w:r>
            <w:hyperlink r:id="rId5" w:history="1">
              <w:r w:rsidRPr="0060502D">
                <w:rPr>
                  <w:rStyle w:val="linkneltesto"/>
                  <w:rFonts w:cs="Arial"/>
                  <w:b/>
                  <w:sz w:val="18"/>
                  <w:szCs w:val="18"/>
                </w:rPr>
                <w:t>art. 4, comma 2, lett. m-bis), D.L. 13 maggio 2011, n. 70</w:t>
              </w:r>
            </w:hyperlink>
            <w:r w:rsidRPr="0060502D">
              <w:rPr>
                <w:rFonts w:cs="Arial"/>
                <w:sz w:val="18"/>
                <w:szCs w:val="18"/>
              </w:rPr>
              <w:t xml:space="preserve">, convertito, con modificazioni, dalla </w:t>
            </w:r>
            <w:hyperlink r:id="rId6" w:history="1">
              <w:r w:rsidRPr="0060502D">
                <w:rPr>
                  <w:rStyle w:val="linkneltesto"/>
                  <w:rFonts w:cs="Arial"/>
                  <w:b/>
                  <w:sz w:val="18"/>
                  <w:szCs w:val="18"/>
                </w:rPr>
                <w:t>L. 12 luglio 2011, n. 106</w:t>
              </w:r>
            </w:hyperlink>
            <w:r w:rsidRPr="0060502D">
              <w:rPr>
                <w:rFonts w:cs="Arial"/>
                <w:b/>
                <w:sz w:val="18"/>
                <w:szCs w:val="18"/>
              </w:rPr>
              <w:t>,</w:t>
            </w:r>
            <w:r w:rsidRPr="0060502D">
              <w:rPr>
                <w:rFonts w:cs="Arial"/>
                <w:sz w:val="18"/>
                <w:szCs w:val="18"/>
              </w:rPr>
              <w:t xml:space="preserve">  ha elevato ad </w:t>
            </w:r>
            <w:r w:rsidRPr="0060502D">
              <w:rPr>
                <w:rFonts w:cs="Arial"/>
                <w:b/>
                <w:sz w:val="18"/>
                <w:szCs w:val="18"/>
              </w:rPr>
              <w:t>euro 40.000,00</w:t>
            </w:r>
            <w:r w:rsidRPr="0060502D">
              <w:rPr>
                <w:rFonts w:cs="Arial"/>
                <w:sz w:val="18"/>
                <w:szCs w:val="18"/>
              </w:rPr>
              <w:t xml:space="preserve"> la soglia di euro 20.000,00 prevista per l’affidamento di lavori, servizi e prestazioni in economia, dall’art.125 del Codice dei Contratti Pubblici sopra richiamato;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Viste le attuali disposizioni del nostro Regolamento Comunale, e in particolare: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Art.13 – comma 4 – Interventi eseguiti per cottimo fiduciario:</w:t>
            </w:r>
            <w:r w:rsidRPr="0060502D">
              <w:rPr>
                <w:rFonts w:cs="Arial"/>
                <w:sz w:val="18"/>
                <w:szCs w:val="18"/>
              </w:rPr>
              <w:t xml:space="preserve"> </w:t>
            </w:r>
            <w:r w:rsidRPr="0060502D">
              <w:rPr>
                <w:rFonts w:cs="Arial"/>
                <w:i/>
                <w:sz w:val="18"/>
                <w:szCs w:val="18"/>
              </w:rPr>
              <w:t>Si prescinde dalla richiesta di pluralità di preventivi e si può trattare direttamente con un unico interlocutore nei seguenti casi</w:t>
            </w:r>
            <w:r w:rsidRPr="0060502D">
              <w:rPr>
                <w:rFonts w:cs="Arial"/>
                <w:sz w:val="18"/>
                <w:szCs w:val="18"/>
              </w:rPr>
              <w:t>: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i/>
                <w:sz w:val="18"/>
                <w:szCs w:val="18"/>
                <w:u w:val="single"/>
              </w:rPr>
            </w:pP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lett.d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):</w:t>
            </w:r>
            <w:r w:rsidRPr="0060502D">
              <w:rPr>
                <w:rFonts w:cs="Arial"/>
                <w:sz w:val="18"/>
                <w:szCs w:val="18"/>
              </w:rPr>
              <w:t>”</w:t>
            </w:r>
            <w:r w:rsidRPr="0060502D">
              <w:rPr>
                <w:rFonts w:cs="Arial"/>
                <w:i/>
                <w:sz w:val="18"/>
                <w:szCs w:val="18"/>
              </w:rPr>
              <w:t xml:space="preserve">nel solo caso di lavori, quando l’importo della spesa </w:t>
            </w:r>
            <w:r w:rsidRPr="0060502D">
              <w:rPr>
                <w:rFonts w:cs="Arial"/>
                <w:i/>
                <w:sz w:val="18"/>
                <w:szCs w:val="18"/>
                <w:u w:val="single"/>
              </w:rPr>
              <w:t xml:space="preserve">non superi l’ammontare di euro </w:t>
            </w:r>
            <w:smartTag w:uri="urn:schemas-microsoft-com:office:smarttags" w:element="metricconverter">
              <w:smartTagPr>
                <w:attr w:name="ProductID" w:val="40.000,00”"/>
              </w:smartTagPr>
              <w:r w:rsidRPr="0060502D">
                <w:rPr>
                  <w:rFonts w:cs="Arial"/>
                  <w:i/>
                  <w:sz w:val="18"/>
                  <w:szCs w:val="18"/>
                  <w:u w:val="single"/>
                </w:rPr>
                <w:t>40.000,00”</w:t>
              </w:r>
            </w:smartTag>
            <w:r w:rsidRPr="0060502D">
              <w:rPr>
                <w:rFonts w:cs="Arial"/>
                <w:i/>
                <w:sz w:val="18"/>
                <w:szCs w:val="18"/>
                <w:u w:val="single"/>
              </w:rPr>
              <w:t>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i/>
                <w:sz w:val="18"/>
                <w:szCs w:val="18"/>
                <w:u w:val="single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      -  </w:t>
            </w: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lett.e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</w:t>
            </w:r>
            <w:r w:rsidRPr="0060502D">
              <w:rPr>
                <w:rFonts w:cs="Arial"/>
                <w:sz w:val="18"/>
                <w:szCs w:val="18"/>
              </w:rPr>
              <w:t xml:space="preserve">: </w:t>
            </w:r>
            <w:r w:rsidRPr="0060502D">
              <w:rPr>
                <w:rFonts w:cs="Arial"/>
                <w:i/>
                <w:sz w:val="18"/>
                <w:szCs w:val="18"/>
              </w:rPr>
              <w:t xml:space="preserve">nel solo caso di servizi o forniture, quando l’importo della spesa </w:t>
            </w:r>
            <w:r w:rsidRPr="0060502D">
              <w:rPr>
                <w:rFonts w:cs="Arial"/>
                <w:i/>
                <w:sz w:val="18"/>
                <w:szCs w:val="18"/>
                <w:u w:val="single"/>
              </w:rPr>
              <w:t>non superi l’ammontare di euro 20.000,00;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Art.25 - Disposizioni speciali per i servizi tecnici 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lastRenderedPageBreak/>
              <w:t>comma 2:</w:t>
            </w:r>
            <w:r w:rsidRPr="0060502D">
              <w:rPr>
                <w:rFonts w:cs="Arial"/>
                <w:sz w:val="18"/>
                <w:szCs w:val="18"/>
              </w:rPr>
              <w:t xml:space="preserve"> Ai sensi dell’art.125, comma 11, ultimo periodo, del Codice, i servizi tecnici di cui al comma 1 di importo inferiore a </w:t>
            </w:r>
            <w:r w:rsidRPr="0060502D">
              <w:rPr>
                <w:rFonts w:cs="Arial"/>
                <w:sz w:val="18"/>
                <w:szCs w:val="18"/>
                <w:u w:val="single"/>
              </w:rPr>
              <w:t>euro 20.000,00</w:t>
            </w:r>
            <w:r w:rsidRPr="0060502D">
              <w:rPr>
                <w:rFonts w:cs="Arial"/>
                <w:sz w:val="18"/>
                <w:szCs w:val="18"/>
              </w:rPr>
              <w:t xml:space="preserve"> possono essere affidati direttamente ad un soggetto idoneo oppure con procedura negoziata con un unico soggetto, individuato dal responsabile di cui all’art.11;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3:</w:t>
            </w:r>
            <w:r w:rsidRPr="0060502D">
              <w:rPr>
                <w:rFonts w:cs="Arial"/>
                <w:sz w:val="18"/>
                <w:szCs w:val="18"/>
              </w:rPr>
              <w:t xml:space="preserve"> I servizi tecnici di cui al comma 1, lettere a) b) c) di importo pari o superiore a </w:t>
            </w:r>
            <w:r w:rsidRPr="0060502D">
              <w:rPr>
                <w:rFonts w:cs="Arial"/>
                <w:sz w:val="18"/>
                <w:szCs w:val="18"/>
                <w:u w:val="single"/>
              </w:rPr>
              <w:t>20.000,00 euro</w:t>
            </w:r>
            <w:r w:rsidRPr="0060502D">
              <w:rPr>
                <w:rFonts w:cs="Arial"/>
                <w:sz w:val="18"/>
                <w:szCs w:val="18"/>
              </w:rPr>
              <w:t xml:space="preserve"> e inferiore a euro 100.000,00 sono affidati, anche senza procedura concorsuale e anche mediante procedura negoziata, previo invito ad almeno cinque soggetti idonei, in base alle seguenti linee guida, determinate preventivamente: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comma 8, </w:t>
            </w: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lett.a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</w:t>
            </w:r>
            <w:r w:rsidRPr="0060502D">
              <w:rPr>
                <w:rFonts w:cs="Arial"/>
                <w:sz w:val="18"/>
                <w:szCs w:val="18"/>
              </w:rPr>
              <w:t xml:space="preserve">: di importo pari o superiore a </w:t>
            </w:r>
            <w:r w:rsidRPr="0060502D">
              <w:rPr>
                <w:rFonts w:cs="Arial"/>
                <w:sz w:val="18"/>
                <w:szCs w:val="18"/>
                <w:u w:val="single"/>
              </w:rPr>
              <w:t>euro 20.000,00</w:t>
            </w:r>
            <w:r w:rsidRPr="0060502D">
              <w:rPr>
                <w:rFonts w:cs="Arial"/>
                <w:sz w:val="18"/>
                <w:szCs w:val="18"/>
              </w:rPr>
              <w:t xml:space="preserve"> e inferiore a 211.000,00 euro sono disciplinati dall’art.124 del Codice;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  Art. 27 – Garanzie: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2</w:t>
            </w:r>
            <w:r w:rsidRPr="0060502D">
              <w:rPr>
                <w:rFonts w:cs="Arial"/>
                <w:sz w:val="18"/>
                <w:szCs w:val="18"/>
              </w:rPr>
              <w:t xml:space="preserve">: I soggetti affidatari sono esonerati dalla costituzione della garanzia </w:t>
            </w:r>
            <w:proofErr w:type="spellStart"/>
            <w:r w:rsidRPr="0060502D">
              <w:rPr>
                <w:rFonts w:cs="Arial"/>
                <w:sz w:val="18"/>
                <w:szCs w:val="18"/>
              </w:rPr>
              <w:t>fidejussoria</w:t>
            </w:r>
            <w:proofErr w:type="spellEnd"/>
            <w:r w:rsidRPr="0060502D">
              <w:rPr>
                <w:rFonts w:cs="Arial"/>
                <w:sz w:val="18"/>
                <w:szCs w:val="18"/>
              </w:rPr>
              <w:t xml:space="preserve"> per tutti gli affidamenti di lavori di </w:t>
            </w:r>
            <w:r w:rsidRPr="0060502D">
              <w:rPr>
                <w:rFonts w:cs="Arial"/>
                <w:sz w:val="18"/>
                <w:szCs w:val="18"/>
                <w:u w:val="single"/>
              </w:rPr>
              <w:t>importo sino a euro 40.000,00</w:t>
            </w:r>
            <w:r w:rsidRPr="0060502D">
              <w:rPr>
                <w:rFonts w:cs="Arial"/>
                <w:sz w:val="18"/>
                <w:szCs w:val="18"/>
              </w:rPr>
              <w:t>;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3</w:t>
            </w:r>
            <w:r w:rsidRPr="0060502D">
              <w:rPr>
                <w:rFonts w:cs="Arial"/>
                <w:sz w:val="18"/>
                <w:szCs w:val="18"/>
              </w:rPr>
              <w:t xml:space="preserve">: Salvo esplicita previsione da parte del responsabile di cui all’art.11, i soggetti affidatari sono esonerati dalla costituzione delle assicurazioni di cui all’articolo 113 del Codice, per tutti gli affidamenti di lavori di </w:t>
            </w:r>
            <w:r w:rsidRPr="0060502D">
              <w:rPr>
                <w:rFonts w:cs="Arial"/>
                <w:sz w:val="18"/>
                <w:szCs w:val="18"/>
                <w:u w:val="single"/>
              </w:rPr>
              <w:t xml:space="preserve">importo fino a euro </w:t>
            </w:r>
            <w:smartTag w:uri="urn:schemas-microsoft-com:office:smarttags" w:element="metricconverter">
              <w:smartTagPr>
                <w:attr w:name="ProductID" w:val="40.000,00 a"/>
              </w:smartTagPr>
              <w:r w:rsidRPr="0060502D">
                <w:rPr>
                  <w:rFonts w:cs="Arial"/>
                  <w:sz w:val="18"/>
                  <w:szCs w:val="18"/>
                  <w:u w:val="single"/>
                </w:rPr>
                <w:t>40.000,00</w:t>
              </w:r>
              <w:r w:rsidRPr="0060502D">
                <w:rPr>
                  <w:rFonts w:cs="Arial"/>
                  <w:sz w:val="18"/>
                  <w:szCs w:val="18"/>
                </w:rPr>
                <w:t xml:space="preserve"> a</w:t>
              </w:r>
            </w:smartTag>
            <w:r w:rsidRPr="0060502D">
              <w:rPr>
                <w:rFonts w:cs="Arial"/>
                <w:sz w:val="18"/>
                <w:szCs w:val="18"/>
              </w:rPr>
              <w:t xml:space="preserve"> condizione che siano comunque muniti di polizza generica di responsabilità civile;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 34 – Verifica e collaudo: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1</w:t>
            </w:r>
            <w:r w:rsidRPr="0060502D">
              <w:rPr>
                <w:rFonts w:cs="Arial"/>
                <w:sz w:val="18"/>
                <w:szCs w:val="18"/>
              </w:rPr>
              <w:t xml:space="preserve">: Tutti gli interventi in economia sono soggetti a collaudo o attestazione di regolare esecuzione entro venti giorni dalla acquisizione; per interventi di </w:t>
            </w:r>
            <w:r w:rsidRPr="0060502D">
              <w:rPr>
                <w:rFonts w:cs="Arial"/>
                <w:sz w:val="18"/>
                <w:szCs w:val="18"/>
                <w:u w:val="single"/>
              </w:rPr>
              <w:t>importo fino a euro 40.000,00</w:t>
            </w:r>
            <w:r w:rsidRPr="0060502D">
              <w:rPr>
                <w:rFonts w:cs="Arial"/>
                <w:sz w:val="18"/>
                <w:szCs w:val="18"/>
              </w:rPr>
              <w:t xml:space="preserve"> il collaudo può essere effettuato in forma sintetica anche a margine degli atti di liquidazione;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 xml:space="preserve">Ritenuta la opportunità di adeguare i sopra indicati articoli del “Regolamento Comunale per l’esecuzione di lavori, forniture e servizi in economia” alle disposizioni contenute nel </w:t>
            </w:r>
            <w:r w:rsidRPr="0060502D">
              <w:rPr>
                <w:rFonts w:cs="Arial"/>
                <w:b/>
                <w:sz w:val="18"/>
                <w:szCs w:val="18"/>
              </w:rPr>
              <w:t>Decreto Legislativo n.163/2006 – Codice dei contratti pubblici</w:t>
            </w:r>
            <w:r w:rsidRPr="0060502D">
              <w:rPr>
                <w:rFonts w:cs="Arial"/>
                <w:sz w:val="18"/>
                <w:szCs w:val="18"/>
              </w:rPr>
              <w:t xml:space="preserve"> - e successive modificazioni, adeguando le soglie per l’affidamento diretto di lavori, servizi e forniture, e così in particolare: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Art.13 – comma 4 – Interventi eseguiti per cottimo fiduciario:</w:t>
            </w:r>
            <w:r w:rsidRPr="0060502D">
              <w:rPr>
                <w:rFonts w:cs="Arial"/>
                <w:sz w:val="18"/>
                <w:szCs w:val="18"/>
              </w:rPr>
              <w:t xml:space="preserve"> </w:t>
            </w:r>
            <w:r w:rsidRPr="0060502D">
              <w:rPr>
                <w:rFonts w:cs="Arial"/>
                <w:i/>
                <w:sz w:val="18"/>
                <w:szCs w:val="18"/>
              </w:rPr>
              <w:t>Si prescinde dalla richiesta di pluralità di preventivi e si può trattare direttamente con un unico interlocutore nei seguenti casi</w:t>
            </w:r>
            <w:r w:rsidRPr="0060502D">
              <w:rPr>
                <w:rFonts w:cs="Arial"/>
                <w:sz w:val="18"/>
                <w:szCs w:val="18"/>
              </w:rPr>
              <w:t>: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lett.d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):</w:t>
            </w:r>
            <w:r w:rsidRPr="0060502D">
              <w:rPr>
                <w:rFonts w:cs="Arial"/>
                <w:sz w:val="18"/>
                <w:szCs w:val="18"/>
              </w:rPr>
              <w:t>”</w:t>
            </w:r>
            <w:r w:rsidRPr="0060502D">
              <w:rPr>
                <w:rFonts w:cs="Arial"/>
                <w:i/>
                <w:sz w:val="18"/>
                <w:szCs w:val="18"/>
              </w:rPr>
              <w:t xml:space="preserve">nel solo caso di lavori, quando l’importo della spesa sia </w:t>
            </w:r>
            <w:r w:rsidRPr="0060502D">
              <w:rPr>
                <w:rFonts w:cs="Arial"/>
                <w:b/>
                <w:i/>
                <w:sz w:val="18"/>
                <w:szCs w:val="18"/>
                <w:u w:val="single"/>
              </w:rPr>
              <w:t xml:space="preserve">inferiore ad euro </w:t>
            </w:r>
            <w:smartTag w:uri="urn:schemas-microsoft-com:office:smarttags" w:element="metricconverter">
              <w:smartTagPr>
                <w:attr w:name="ProductID" w:val="40.000,00”"/>
              </w:smartTagPr>
              <w:r w:rsidRPr="0060502D">
                <w:rPr>
                  <w:rFonts w:cs="Arial"/>
                  <w:b/>
                  <w:i/>
                  <w:sz w:val="18"/>
                  <w:szCs w:val="18"/>
                  <w:u w:val="single"/>
                </w:rPr>
                <w:t>40.000,00”</w:t>
              </w:r>
            </w:smartTag>
            <w:r w:rsidRPr="0060502D">
              <w:rPr>
                <w:rFonts w:cs="Arial"/>
                <w:b/>
                <w:i/>
                <w:sz w:val="18"/>
                <w:szCs w:val="18"/>
                <w:u w:val="single"/>
              </w:rPr>
              <w:t>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      -  </w:t>
            </w: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lett.e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</w:t>
            </w:r>
            <w:r w:rsidRPr="0060502D">
              <w:rPr>
                <w:rFonts w:cs="Arial"/>
                <w:sz w:val="18"/>
                <w:szCs w:val="18"/>
              </w:rPr>
              <w:t xml:space="preserve">: </w:t>
            </w:r>
            <w:r w:rsidRPr="0060502D">
              <w:rPr>
                <w:rFonts w:cs="Arial"/>
                <w:i/>
                <w:sz w:val="18"/>
                <w:szCs w:val="18"/>
              </w:rPr>
              <w:t xml:space="preserve">nel solo caso di servizi o forniture, quando l’importo della spesa sia </w:t>
            </w:r>
            <w:r w:rsidRPr="0060502D">
              <w:rPr>
                <w:rFonts w:cs="Arial"/>
                <w:b/>
                <w:i/>
                <w:sz w:val="18"/>
                <w:szCs w:val="18"/>
                <w:u w:val="single"/>
              </w:rPr>
              <w:lastRenderedPageBreak/>
              <w:t>inferiore ad euro 40.000,00;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Art.25 - Disposizioni speciali per i servizi tecnici 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2:</w:t>
            </w:r>
            <w:r w:rsidRPr="0060502D">
              <w:rPr>
                <w:rFonts w:cs="Arial"/>
                <w:sz w:val="18"/>
                <w:szCs w:val="18"/>
              </w:rPr>
              <w:t xml:space="preserve"> Ai sensi dell’art.125, comma 11, ultimo periodo, del Codice, i servizi tecnici di cui al comma 1) di importo inferiore a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euro 40.000,00</w:t>
            </w:r>
            <w:r w:rsidRPr="0060502D">
              <w:rPr>
                <w:rFonts w:cs="Arial"/>
                <w:sz w:val="18"/>
                <w:szCs w:val="18"/>
              </w:rPr>
              <w:t xml:space="preserve"> possono essere affidati direttamente ad un soggetto idoneo oppure con procedura negoziata con un unico soggetto, individuato dal responsabile di cui all’art.11;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3:</w:t>
            </w:r>
            <w:r w:rsidRPr="0060502D">
              <w:rPr>
                <w:rFonts w:cs="Arial"/>
                <w:sz w:val="18"/>
                <w:szCs w:val="18"/>
              </w:rPr>
              <w:t xml:space="preserve"> I servizi tecnici di cui al comma 1, lettere a) b) c) di importo pari o superiore a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40.000,00 euro</w:t>
            </w:r>
            <w:r w:rsidRPr="0060502D">
              <w:rPr>
                <w:rFonts w:cs="Arial"/>
                <w:sz w:val="18"/>
                <w:szCs w:val="18"/>
              </w:rPr>
              <w:t xml:space="preserve"> e inferiore a euro 100.000,00 sono affidati, anche senza procedura concorsuale e anche mediante procedura negoziata, previo invito ad almeno cinque soggetti idonei, in base alle seguenti linee guida, determinate preventivamente: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comma 8, </w:t>
            </w: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lett.a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</w:t>
            </w:r>
            <w:r w:rsidRPr="0060502D">
              <w:rPr>
                <w:rFonts w:cs="Arial"/>
                <w:sz w:val="18"/>
                <w:szCs w:val="18"/>
              </w:rPr>
              <w:t xml:space="preserve">: di importo pari o superiore a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euro 40.000,00</w:t>
            </w:r>
            <w:r w:rsidRPr="0060502D">
              <w:rPr>
                <w:rFonts w:cs="Arial"/>
                <w:sz w:val="18"/>
                <w:szCs w:val="18"/>
              </w:rPr>
              <w:t xml:space="preserve"> e inferiore a 211.000,00 euro sono disciplinati dall’art.124 del Codice;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  Art. 27 – Garanzie: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2</w:t>
            </w:r>
            <w:r w:rsidRPr="0060502D">
              <w:rPr>
                <w:rFonts w:cs="Arial"/>
                <w:sz w:val="18"/>
                <w:szCs w:val="18"/>
              </w:rPr>
              <w:t xml:space="preserve">: I soggetti affidatari sono esonerati dalla costituzione della garanzia </w:t>
            </w:r>
            <w:proofErr w:type="spellStart"/>
            <w:r w:rsidRPr="0060502D">
              <w:rPr>
                <w:rFonts w:cs="Arial"/>
                <w:sz w:val="18"/>
                <w:szCs w:val="18"/>
              </w:rPr>
              <w:t>fidejussoria</w:t>
            </w:r>
            <w:proofErr w:type="spellEnd"/>
            <w:r w:rsidRPr="0060502D">
              <w:rPr>
                <w:rFonts w:cs="Arial"/>
                <w:sz w:val="18"/>
                <w:szCs w:val="18"/>
              </w:rPr>
              <w:t xml:space="preserve"> per tutti gli affidamenti di lavori di importo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inferiore a euro 40.000,00</w:t>
            </w:r>
            <w:r w:rsidRPr="0060502D">
              <w:rPr>
                <w:rFonts w:cs="Arial"/>
                <w:sz w:val="18"/>
                <w:szCs w:val="18"/>
              </w:rPr>
              <w:t>;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3</w:t>
            </w:r>
            <w:r w:rsidRPr="0060502D">
              <w:rPr>
                <w:rFonts w:cs="Arial"/>
                <w:sz w:val="18"/>
                <w:szCs w:val="18"/>
              </w:rPr>
              <w:t xml:space="preserve">: Salvo esplicita previsione da parte del responsabile di cui all’art.11, i soggetti affidatari sono esonerati dalla costituzione delle assicurazioni di cui all’articolo 113 del Codice, per tutti gli affidamenti di lavori di importo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 xml:space="preserve">inferiore a euro </w:t>
            </w:r>
            <w:smartTag w:uri="urn:schemas-microsoft-com:office:smarttags" w:element="metricconverter">
              <w:smartTagPr>
                <w:attr w:name="ProductID" w:val="40.000,00 a"/>
              </w:smartTagPr>
              <w:r w:rsidRPr="0060502D">
                <w:rPr>
                  <w:rFonts w:cs="Arial"/>
                  <w:b/>
                  <w:sz w:val="18"/>
                  <w:szCs w:val="18"/>
                  <w:u w:val="single"/>
                </w:rPr>
                <w:t>40.000,00</w:t>
              </w:r>
              <w:r w:rsidRPr="0060502D">
                <w:rPr>
                  <w:rFonts w:cs="Arial"/>
                  <w:sz w:val="18"/>
                  <w:szCs w:val="18"/>
                </w:rPr>
                <w:t xml:space="preserve"> a</w:t>
              </w:r>
            </w:smartTag>
            <w:r w:rsidRPr="0060502D">
              <w:rPr>
                <w:rFonts w:cs="Arial"/>
                <w:sz w:val="18"/>
                <w:szCs w:val="18"/>
              </w:rPr>
              <w:t xml:space="preserve"> condizione che siano comunque muniti di polizza generica di responsabilità civile;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 34 – Verifica e collaudo: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1</w:t>
            </w:r>
            <w:r w:rsidRPr="0060502D">
              <w:rPr>
                <w:rFonts w:cs="Arial"/>
                <w:sz w:val="18"/>
                <w:szCs w:val="18"/>
              </w:rPr>
              <w:t xml:space="preserve">: Tutti gli interventi in economia sono soggetti a collaudo o attestazione di regolare esecuzione entro venti giorni dalla acquisizione; per interventi di importo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inferiore  a euro 40.000,00</w:t>
            </w:r>
            <w:r w:rsidRPr="0060502D">
              <w:rPr>
                <w:rFonts w:cs="Arial"/>
                <w:sz w:val="18"/>
                <w:szCs w:val="18"/>
              </w:rPr>
              <w:t xml:space="preserve"> il collaudo può essere effettuato in forma sintetica anche a margine degli atti di liquidazione;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>Visti: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>il Decreto Legislativo n.163/2006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>il “Regolamento Comunale per l’esecuzione di lavori, forniture e servizi in economia”;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i/>
                <w:sz w:val="18"/>
                <w:szCs w:val="18"/>
              </w:rPr>
              <w:t xml:space="preserve">il </w:t>
            </w:r>
            <w:hyperlink r:id="rId7" w:history="1">
              <w:r w:rsidRPr="0060502D">
                <w:rPr>
                  <w:rStyle w:val="linkneltesto"/>
                  <w:rFonts w:asciiTheme="minorHAnsi" w:hAnsiTheme="minorHAnsi" w:cs="Arial"/>
                  <w:i w:val="0"/>
                  <w:sz w:val="18"/>
                  <w:szCs w:val="18"/>
                </w:rPr>
                <w:t xml:space="preserve"> D.L. 13 maggio 2011, n. 70</w:t>
              </w:r>
            </w:hyperlink>
            <w:r w:rsidRPr="0060502D">
              <w:rPr>
                <w:rFonts w:asciiTheme="minorHAnsi" w:hAnsiTheme="minorHAnsi" w:cs="Arial"/>
                <w:i/>
                <w:sz w:val="18"/>
                <w:szCs w:val="18"/>
              </w:rPr>
              <w:t>;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i/>
                <w:sz w:val="18"/>
                <w:szCs w:val="18"/>
              </w:rPr>
              <w:t xml:space="preserve">la </w:t>
            </w:r>
            <w:hyperlink r:id="rId8" w:history="1">
              <w:r w:rsidRPr="0060502D">
                <w:rPr>
                  <w:rStyle w:val="linkneltesto"/>
                  <w:rFonts w:asciiTheme="minorHAnsi" w:hAnsiTheme="minorHAnsi" w:cs="Arial"/>
                  <w:i w:val="0"/>
                  <w:sz w:val="18"/>
                  <w:szCs w:val="18"/>
                </w:rPr>
                <w:t>L. 12 luglio 2011, n. 106</w:t>
              </w:r>
            </w:hyperlink>
            <w:r w:rsidRPr="0060502D"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 xml:space="preserve">Visto il </w:t>
            </w:r>
            <w:proofErr w:type="spellStart"/>
            <w:r w:rsidRPr="0060502D">
              <w:rPr>
                <w:rFonts w:asciiTheme="minorHAnsi" w:hAnsiTheme="minorHAnsi" w:cs="Arial"/>
                <w:sz w:val="18"/>
                <w:szCs w:val="18"/>
              </w:rPr>
              <w:t>D.Lgs.</w:t>
            </w:r>
            <w:proofErr w:type="spellEnd"/>
            <w:r w:rsidRPr="0060502D">
              <w:rPr>
                <w:rFonts w:asciiTheme="minorHAnsi" w:hAnsiTheme="minorHAnsi" w:cs="Arial"/>
                <w:sz w:val="18"/>
                <w:szCs w:val="18"/>
              </w:rPr>
              <w:t xml:space="preserve"> 267/2000;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 xml:space="preserve">Dato atto che, ai sensi dell’art.49 del </w:t>
            </w:r>
            <w:proofErr w:type="spellStart"/>
            <w:r w:rsidRPr="0060502D">
              <w:rPr>
                <w:rFonts w:asciiTheme="minorHAnsi" w:hAnsiTheme="minorHAnsi" w:cs="Arial"/>
                <w:sz w:val="18"/>
                <w:szCs w:val="18"/>
              </w:rPr>
              <w:t>D.Lgs.</w:t>
            </w:r>
            <w:proofErr w:type="spellEnd"/>
            <w:r w:rsidRPr="0060502D">
              <w:rPr>
                <w:rFonts w:asciiTheme="minorHAnsi" w:hAnsiTheme="minorHAnsi" w:cs="Arial"/>
                <w:sz w:val="18"/>
                <w:szCs w:val="18"/>
              </w:rPr>
              <w:t xml:space="preserve"> 267/00,  è stato formalmente acquisito il parere favorevole in ordine alla regolarità tecnica del presente atto,  </w:t>
            </w:r>
            <w:r w:rsidRPr="0060502D">
              <w:rPr>
                <w:rFonts w:asciiTheme="minorHAnsi" w:hAnsiTheme="minorHAnsi" w:cs="Arial"/>
                <w:sz w:val="18"/>
                <w:szCs w:val="18"/>
              </w:rPr>
              <w:lastRenderedPageBreak/>
              <w:t>espresso dal  Responsabile dei  Servizio  interessato;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Uditi gli interventi, come da allegata trascrizione integrale;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 xml:space="preserve">Con voti 10 favorevoli, 3 contrari (Dell’Abate, Forte, </w:t>
            </w:r>
            <w:proofErr w:type="spellStart"/>
            <w:r w:rsidRPr="0060502D">
              <w:rPr>
                <w:rFonts w:asciiTheme="minorHAnsi" w:hAnsiTheme="minorHAnsi" w:cs="Arial"/>
                <w:sz w:val="18"/>
                <w:szCs w:val="18"/>
              </w:rPr>
              <w:t>Scarascia</w:t>
            </w:r>
            <w:proofErr w:type="spellEnd"/>
            <w:r w:rsidRPr="0060502D">
              <w:rPr>
                <w:rFonts w:asciiTheme="minorHAnsi" w:hAnsiTheme="minorHAnsi" w:cs="Arial"/>
                <w:sz w:val="18"/>
                <w:szCs w:val="18"/>
              </w:rPr>
              <w:t>), 1 astenuto (De Marco) su 14 Consiglieri presenti e votanti, espressi per alzata di mano;</w:t>
            </w: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pStyle w:val="Corpodeltes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 E L I B E R A</w:t>
            </w:r>
          </w:p>
          <w:p w:rsidR="00E9554E" w:rsidRPr="0060502D" w:rsidRDefault="00E9554E" w:rsidP="00E9554E">
            <w:pPr>
              <w:pStyle w:val="Corpodeltes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E9554E" w:rsidRPr="0060502D" w:rsidRDefault="00E9554E" w:rsidP="00E9554E">
            <w:pPr>
              <w:numPr>
                <w:ilvl w:val="0"/>
                <w:numId w:val="18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Cs/>
                <w:sz w:val="18"/>
                <w:szCs w:val="18"/>
              </w:rPr>
              <w:t>Per quanto in premessa e qui dato per richiamato,</w:t>
            </w:r>
            <w:r w:rsidRPr="0060502D">
              <w:rPr>
                <w:rFonts w:cs="Arial"/>
                <w:b/>
                <w:bCs/>
                <w:sz w:val="18"/>
                <w:szCs w:val="18"/>
              </w:rPr>
              <w:t xml:space="preserve"> modificare </w:t>
            </w:r>
            <w:r w:rsidRPr="0060502D">
              <w:rPr>
                <w:rFonts w:cs="Arial"/>
                <w:b/>
                <w:sz w:val="18"/>
                <w:szCs w:val="18"/>
              </w:rPr>
              <w:t xml:space="preserve">il “Regolamento Comunale per l’esecuzione di lavori, forniture e servizi in economia” </w:t>
            </w:r>
            <w:r w:rsidRPr="0060502D">
              <w:rPr>
                <w:rFonts w:cs="Arial"/>
                <w:sz w:val="18"/>
                <w:szCs w:val="18"/>
              </w:rPr>
              <w:t>limitatamente agli articoli sotto riportati e nella parte sottolineata in grassetto: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Art.13 – comma 4 – Interventi eseguiti per cottimo fiduciario:</w:t>
            </w:r>
            <w:r w:rsidRPr="0060502D">
              <w:rPr>
                <w:rFonts w:cs="Arial"/>
                <w:sz w:val="18"/>
                <w:szCs w:val="18"/>
              </w:rPr>
              <w:t xml:space="preserve"> </w:t>
            </w:r>
            <w:r w:rsidRPr="0060502D">
              <w:rPr>
                <w:rFonts w:cs="Arial"/>
                <w:i/>
                <w:sz w:val="18"/>
                <w:szCs w:val="18"/>
              </w:rPr>
              <w:t>Si prescinde dalla richiesta di pluralità di preventivi e si può trattare direttamente con un unico interlocutore nei seguenti casi</w:t>
            </w:r>
            <w:r w:rsidRPr="0060502D">
              <w:rPr>
                <w:rFonts w:cs="Arial"/>
                <w:sz w:val="18"/>
                <w:szCs w:val="18"/>
              </w:rPr>
              <w:t>: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lett.d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):</w:t>
            </w:r>
            <w:r w:rsidRPr="0060502D">
              <w:rPr>
                <w:rFonts w:cs="Arial"/>
                <w:sz w:val="18"/>
                <w:szCs w:val="18"/>
              </w:rPr>
              <w:t>”</w:t>
            </w:r>
            <w:r w:rsidRPr="0060502D">
              <w:rPr>
                <w:rFonts w:cs="Arial"/>
                <w:i/>
                <w:sz w:val="18"/>
                <w:szCs w:val="18"/>
              </w:rPr>
              <w:t xml:space="preserve">nel solo caso di lavori, quando l’importo della spesa sia </w:t>
            </w:r>
            <w:r w:rsidRPr="0060502D">
              <w:rPr>
                <w:rFonts w:cs="Arial"/>
                <w:b/>
                <w:i/>
                <w:sz w:val="18"/>
                <w:szCs w:val="18"/>
                <w:u w:val="single"/>
              </w:rPr>
              <w:t xml:space="preserve">inferiore ad euro </w:t>
            </w:r>
            <w:smartTag w:uri="urn:schemas-microsoft-com:office:smarttags" w:element="metricconverter">
              <w:smartTagPr>
                <w:attr w:name="ProductID" w:val="40.000,00”"/>
              </w:smartTagPr>
              <w:r w:rsidRPr="0060502D">
                <w:rPr>
                  <w:rFonts w:cs="Arial"/>
                  <w:b/>
                  <w:i/>
                  <w:sz w:val="18"/>
                  <w:szCs w:val="18"/>
                  <w:u w:val="single"/>
                </w:rPr>
                <w:t>40.000,00”</w:t>
              </w:r>
            </w:smartTag>
            <w:r w:rsidRPr="0060502D">
              <w:rPr>
                <w:rFonts w:cs="Arial"/>
                <w:b/>
                <w:i/>
                <w:sz w:val="18"/>
                <w:szCs w:val="18"/>
                <w:u w:val="single"/>
              </w:rPr>
              <w:t>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      -  </w:t>
            </w: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lett.e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</w:t>
            </w:r>
            <w:r w:rsidRPr="0060502D">
              <w:rPr>
                <w:rFonts w:cs="Arial"/>
                <w:sz w:val="18"/>
                <w:szCs w:val="18"/>
              </w:rPr>
              <w:t xml:space="preserve">: </w:t>
            </w:r>
            <w:r w:rsidRPr="0060502D">
              <w:rPr>
                <w:rFonts w:cs="Arial"/>
                <w:i/>
                <w:sz w:val="18"/>
                <w:szCs w:val="18"/>
              </w:rPr>
              <w:t xml:space="preserve">nel solo caso di servizi o forniture, quando l’importo della spesa sia </w:t>
            </w:r>
            <w:r w:rsidRPr="0060502D">
              <w:rPr>
                <w:rFonts w:cs="Arial"/>
                <w:b/>
                <w:i/>
                <w:sz w:val="18"/>
                <w:szCs w:val="18"/>
                <w:u w:val="single"/>
              </w:rPr>
              <w:t>inferiore ad euro 40.000,00;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Art.25 - Disposizioni speciali per i servizi tecnici 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2:</w:t>
            </w:r>
            <w:r w:rsidRPr="0060502D">
              <w:rPr>
                <w:rFonts w:cs="Arial"/>
                <w:sz w:val="18"/>
                <w:szCs w:val="18"/>
              </w:rPr>
              <w:t xml:space="preserve"> Ai sensi dell’art.125, comma 11, ultimo periodo, del Codice, i servizi tecnici di cui al comma 1) di importo inferiore a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euro 40.000,00</w:t>
            </w:r>
            <w:r w:rsidRPr="0060502D">
              <w:rPr>
                <w:rFonts w:cs="Arial"/>
                <w:sz w:val="18"/>
                <w:szCs w:val="18"/>
              </w:rPr>
              <w:t xml:space="preserve"> possono essere affidati direttamente ad un soggetto idoneo oppure con procedura negoziata con un unico soggetto, individuato dal responsabile di cui all’art.11;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3:</w:t>
            </w:r>
            <w:r w:rsidRPr="0060502D">
              <w:rPr>
                <w:rFonts w:cs="Arial"/>
                <w:sz w:val="18"/>
                <w:szCs w:val="18"/>
              </w:rPr>
              <w:t xml:space="preserve"> I servizi tecnici di cui al comma 1, lettere a) b) c) di importo pari o superiore a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40.000,00 euro</w:t>
            </w:r>
            <w:r w:rsidRPr="0060502D">
              <w:rPr>
                <w:rFonts w:cs="Arial"/>
                <w:sz w:val="18"/>
                <w:szCs w:val="18"/>
              </w:rPr>
              <w:t xml:space="preserve"> e inferiore a euro 100.000,00 sono affidati, anche senza procedura concorsuale e anche mediante procedura negoziata, previo invito ad almeno cinque soggetti idonei, in base alle seguenti linee guida, determinate preventivamente: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comma 8, </w:t>
            </w:r>
            <w:proofErr w:type="spellStart"/>
            <w:r w:rsidRPr="0060502D">
              <w:rPr>
                <w:rFonts w:cs="Arial"/>
                <w:b/>
                <w:sz w:val="18"/>
                <w:szCs w:val="18"/>
              </w:rPr>
              <w:t>lett.a</w:t>
            </w:r>
            <w:proofErr w:type="spellEnd"/>
            <w:r w:rsidRPr="0060502D">
              <w:rPr>
                <w:rFonts w:cs="Arial"/>
                <w:b/>
                <w:sz w:val="18"/>
                <w:szCs w:val="18"/>
              </w:rPr>
              <w:t>)</w:t>
            </w:r>
            <w:r w:rsidRPr="0060502D">
              <w:rPr>
                <w:rFonts w:cs="Arial"/>
                <w:sz w:val="18"/>
                <w:szCs w:val="18"/>
              </w:rPr>
              <w:t xml:space="preserve">: di importo pari o superiore a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euro 40.000,00</w:t>
            </w:r>
            <w:r w:rsidRPr="0060502D">
              <w:rPr>
                <w:rFonts w:cs="Arial"/>
                <w:sz w:val="18"/>
                <w:szCs w:val="18"/>
              </w:rPr>
              <w:t xml:space="preserve"> e inferiore a 211.000,00 euro sono disciplinati dall’art.124 del Codice;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 xml:space="preserve">  Art. 27 – Garanzie: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2</w:t>
            </w:r>
            <w:r w:rsidRPr="0060502D">
              <w:rPr>
                <w:rFonts w:cs="Arial"/>
                <w:sz w:val="18"/>
                <w:szCs w:val="18"/>
              </w:rPr>
              <w:t xml:space="preserve">: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Salvo esplicita previsione da parte del responsabile di cui all’art.11</w:t>
            </w:r>
            <w:r w:rsidRPr="0060502D">
              <w:rPr>
                <w:rFonts w:cs="Arial"/>
                <w:sz w:val="18"/>
                <w:szCs w:val="18"/>
              </w:rPr>
              <w:t xml:space="preserve">, i soggetti affidatari sono esonerati dalla costituzione della garanzia </w:t>
            </w:r>
            <w:proofErr w:type="spellStart"/>
            <w:r w:rsidRPr="0060502D">
              <w:rPr>
                <w:rFonts w:cs="Arial"/>
                <w:sz w:val="18"/>
                <w:szCs w:val="18"/>
              </w:rPr>
              <w:t>fidejussoria</w:t>
            </w:r>
            <w:proofErr w:type="spellEnd"/>
            <w:r w:rsidRPr="0060502D">
              <w:rPr>
                <w:rFonts w:cs="Arial"/>
                <w:sz w:val="18"/>
                <w:szCs w:val="18"/>
              </w:rPr>
              <w:t xml:space="preserve"> per tutti gli affidamenti di lavori di importo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inferiore a euro 40.000,00</w:t>
            </w:r>
            <w:r w:rsidRPr="0060502D">
              <w:rPr>
                <w:rFonts w:cs="Arial"/>
                <w:sz w:val="18"/>
                <w:szCs w:val="18"/>
              </w:rPr>
              <w:t>;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3</w:t>
            </w:r>
            <w:r w:rsidRPr="0060502D">
              <w:rPr>
                <w:rFonts w:cs="Arial"/>
                <w:sz w:val="18"/>
                <w:szCs w:val="18"/>
              </w:rPr>
              <w:t xml:space="preserve">: Salvo esplicita previsione da parte del responsabile di cui </w:t>
            </w:r>
            <w:r w:rsidRPr="0060502D">
              <w:rPr>
                <w:rFonts w:cs="Arial"/>
                <w:sz w:val="18"/>
                <w:szCs w:val="18"/>
              </w:rPr>
              <w:lastRenderedPageBreak/>
              <w:t xml:space="preserve">all’art.11, i soggetti affidatari sono esonerati dalla costituzione delle assicurazioni di cui all’articolo 113 del Codice, per tutti gli affidamenti di lavori di importo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 xml:space="preserve">inferiore a euro </w:t>
            </w:r>
            <w:smartTag w:uri="urn:schemas-microsoft-com:office:smarttags" w:element="metricconverter">
              <w:smartTagPr>
                <w:attr w:name="ProductID" w:val="40.000,00 a"/>
              </w:smartTagPr>
              <w:r w:rsidRPr="0060502D">
                <w:rPr>
                  <w:rFonts w:cs="Arial"/>
                  <w:b/>
                  <w:sz w:val="18"/>
                  <w:szCs w:val="18"/>
                  <w:u w:val="single"/>
                </w:rPr>
                <w:t>40.000,00</w:t>
              </w:r>
              <w:r w:rsidRPr="0060502D">
                <w:rPr>
                  <w:rFonts w:cs="Arial"/>
                  <w:sz w:val="18"/>
                  <w:szCs w:val="18"/>
                </w:rPr>
                <w:t xml:space="preserve"> a</w:t>
              </w:r>
            </w:smartTag>
            <w:r w:rsidRPr="0060502D">
              <w:rPr>
                <w:rFonts w:cs="Arial"/>
                <w:sz w:val="18"/>
                <w:szCs w:val="18"/>
              </w:rPr>
              <w:t xml:space="preserve"> condizione che siano comunque muniti di polizza generica di responsabilità civile;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Art. 34 – Verifica e collaudo:</w:t>
            </w:r>
          </w:p>
          <w:p w:rsidR="00E9554E" w:rsidRPr="0060502D" w:rsidRDefault="00E9554E" w:rsidP="00E9554E">
            <w:pPr>
              <w:numPr>
                <w:ilvl w:val="0"/>
                <w:numId w:val="17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b/>
                <w:sz w:val="18"/>
                <w:szCs w:val="18"/>
              </w:rPr>
              <w:t>comma 1</w:t>
            </w:r>
            <w:r w:rsidRPr="0060502D">
              <w:rPr>
                <w:rFonts w:cs="Arial"/>
                <w:sz w:val="18"/>
                <w:szCs w:val="18"/>
              </w:rPr>
              <w:t xml:space="preserve">: Tutti gli interventi in economia sono soggetti a collaudo o attestazione di regolare esecuzione entro venti giorni dalla acquisizione; per interventi di importo </w:t>
            </w:r>
            <w:r w:rsidRPr="0060502D">
              <w:rPr>
                <w:rFonts w:cs="Arial"/>
                <w:b/>
                <w:sz w:val="18"/>
                <w:szCs w:val="18"/>
                <w:u w:val="single"/>
              </w:rPr>
              <w:t>inferiore  a euro 40.000,00</w:t>
            </w:r>
            <w:r w:rsidRPr="0060502D">
              <w:rPr>
                <w:rFonts w:cs="Arial"/>
                <w:sz w:val="18"/>
                <w:szCs w:val="18"/>
              </w:rPr>
              <w:t xml:space="preserve"> il collaudo può essere effettuato in forma sintetica anche a margine degli atti di liquidazione;</w:t>
            </w:r>
          </w:p>
          <w:p w:rsidR="00E9554E" w:rsidRPr="0060502D" w:rsidRDefault="00E9554E" w:rsidP="00E9554E">
            <w:pPr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numPr>
                <w:ilvl w:val="0"/>
                <w:numId w:val="18"/>
              </w:numPr>
              <w:jc w:val="both"/>
              <w:rPr>
                <w:rFonts w:cs="Arial"/>
                <w:sz w:val="18"/>
                <w:szCs w:val="18"/>
              </w:rPr>
            </w:pPr>
            <w:r w:rsidRPr="0060502D">
              <w:rPr>
                <w:rFonts w:cs="Arial"/>
                <w:sz w:val="18"/>
                <w:szCs w:val="18"/>
              </w:rPr>
              <w:t>Dare atto che il Regolamento viene riformulato nella sua intera veste, con evidenziate le parti oggetto della presente modifica, e, così adeguato, si allega alla presente per farne parte integrante e sostanziale.</w:t>
            </w:r>
          </w:p>
          <w:p w:rsidR="00E9554E" w:rsidRPr="0060502D" w:rsidRDefault="00E9554E" w:rsidP="00E9554E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E9554E" w:rsidRPr="0060502D" w:rsidRDefault="00E9554E" w:rsidP="00E9554E">
            <w:pPr>
              <w:pStyle w:val="Corpodeltesto"/>
              <w:rPr>
                <w:rFonts w:asciiTheme="minorHAnsi" w:hAnsiTheme="minorHAnsi" w:cs="Arial"/>
                <w:sz w:val="18"/>
                <w:szCs w:val="18"/>
              </w:rPr>
            </w:pPr>
            <w:r w:rsidRPr="0060502D">
              <w:rPr>
                <w:rFonts w:asciiTheme="minorHAnsi" w:hAnsiTheme="minorHAnsi" w:cs="Arial"/>
                <w:sz w:val="18"/>
                <w:szCs w:val="18"/>
              </w:rPr>
              <w:t>Con separata votazione per alzata di mano, la presente deliberazione viene dichiarata immediatamente esecutiva ai sensi dell'art.134, comma 4, del D.L.vo n.267/2000.</w:t>
            </w:r>
          </w:p>
          <w:p w:rsidR="00E9554E" w:rsidRPr="0060502D" w:rsidRDefault="00E9554E" w:rsidP="00E9554E">
            <w:pPr>
              <w:pStyle w:val="Corpodeltesto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554E" w:rsidRPr="0060502D" w:rsidRDefault="00E9554E" w:rsidP="00E9554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11C0A" w:rsidRPr="0060502D" w:rsidRDefault="00411C0A" w:rsidP="006B1FF8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C0A" w:rsidRPr="0060502D" w:rsidRDefault="00411C0A" w:rsidP="006B1FF8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:rsidR="00411C0A" w:rsidRPr="0060502D" w:rsidRDefault="00411C0A" w:rsidP="006B1FF8">
            <w:pPr>
              <w:rPr>
                <w:b/>
                <w:sz w:val="18"/>
                <w:szCs w:val="18"/>
              </w:rPr>
            </w:pPr>
          </w:p>
        </w:tc>
      </w:tr>
    </w:tbl>
    <w:p w:rsidR="00E24D0A" w:rsidRPr="0060502D" w:rsidRDefault="00E24D0A" w:rsidP="00E24D0A">
      <w:pPr>
        <w:rPr>
          <w:sz w:val="18"/>
          <w:szCs w:val="18"/>
        </w:rPr>
      </w:pPr>
    </w:p>
    <w:p w:rsidR="00902E5C" w:rsidRPr="0060502D" w:rsidRDefault="00902E5C">
      <w:pPr>
        <w:rPr>
          <w:sz w:val="18"/>
          <w:szCs w:val="18"/>
        </w:rPr>
      </w:pPr>
    </w:p>
    <w:sectPr w:rsidR="00902E5C" w:rsidRPr="0060502D" w:rsidSect="004051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7B4"/>
    <w:multiLevelType w:val="hybridMultilevel"/>
    <w:tmpl w:val="2988D26E"/>
    <w:lvl w:ilvl="0" w:tplc="539E45B4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">
    <w:nsid w:val="032F590F"/>
    <w:multiLevelType w:val="hybridMultilevel"/>
    <w:tmpl w:val="948C2F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77AC4"/>
    <w:multiLevelType w:val="singleLevel"/>
    <w:tmpl w:val="F0D478A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19EA665F"/>
    <w:multiLevelType w:val="hybridMultilevel"/>
    <w:tmpl w:val="34DEA4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31CEB"/>
    <w:multiLevelType w:val="hybridMultilevel"/>
    <w:tmpl w:val="91EED8AC"/>
    <w:lvl w:ilvl="0" w:tplc="A3428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954BCA"/>
    <w:multiLevelType w:val="multilevel"/>
    <w:tmpl w:val="972ABB2C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6">
    <w:nsid w:val="281A1491"/>
    <w:multiLevelType w:val="hybridMultilevel"/>
    <w:tmpl w:val="3A902B0C"/>
    <w:lvl w:ilvl="0" w:tplc="213093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B580FAE"/>
    <w:multiLevelType w:val="hybridMultilevel"/>
    <w:tmpl w:val="738AF6F8"/>
    <w:lvl w:ilvl="0" w:tplc="79CC132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857A6"/>
    <w:multiLevelType w:val="multilevel"/>
    <w:tmpl w:val="66789872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9">
    <w:nsid w:val="2E715599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B50ED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3F8619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A94708F"/>
    <w:multiLevelType w:val="hybridMultilevel"/>
    <w:tmpl w:val="87CAE520"/>
    <w:lvl w:ilvl="0" w:tplc="DB7A8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C30F2"/>
    <w:multiLevelType w:val="hybridMultilevel"/>
    <w:tmpl w:val="F1C0EDBA"/>
    <w:lvl w:ilvl="0" w:tplc="B60ECE50">
      <w:start w:val="1"/>
      <w:numFmt w:val="decimal"/>
      <w:lvlText w:val="%1)"/>
      <w:lvlJc w:val="left"/>
      <w:pPr>
        <w:tabs>
          <w:tab w:val="num" w:pos="720"/>
        </w:tabs>
        <w:ind w:firstLine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1976C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D906101"/>
    <w:multiLevelType w:val="hybridMultilevel"/>
    <w:tmpl w:val="8A6AA1CC"/>
    <w:lvl w:ilvl="0" w:tplc="56F2D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F9571D"/>
    <w:multiLevelType w:val="hybridMultilevel"/>
    <w:tmpl w:val="6B2E4D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8479DD"/>
    <w:multiLevelType w:val="hybridMultilevel"/>
    <w:tmpl w:val="DEE209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EB3E3E"/>
    <w:multiLevelType w:val="hybridMultilevel"/>
    <w:tmpl w:val="CEA085F0"/>
    <w:lvl w:ilvl="0" w:tplc="940E7F5E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7D36E410">
      <w:start w:val="1"/>
      <w:numFmt w:val="bullet"/>
      <w:lvlText w:val="-"/>
      <w:lvlJc w:val="left"/>
      <w:pPr>
        <w:tabs>
          <w:tab w:val="num" w:pos="1420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B51DEA"/>
    <w:multiLevelType w:val="multilevel"/>
    <w:tmpl w:val="C8AACED0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1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DD06C6"/>
    <w:multiLevelType w:val="hybridMultilevel"/>
    <w:tmpl w:val="222A22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1739A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5F914A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20"/>
  </w:num>
  <w:num w:numId="15">
    <w:abstractNumId w:val="6"/>
  </w:num>
  <w:num w:numId="16">
    <w:abstractNumId w:val="12"/>
  </w:num>
  <w:num w:numId="17">
    <w:abstractNumId w:val="16"/>
  </w:num>
  <w:num w:numId="18">
    <w:abstractNumId w:val="22"/>
  </w:num>
  <w:num w:numId="19">
    <w:abstractNumId w:val="24"/>
  </w:num>
  <w:num w:numId="20">
    <w:abstractNumId w:val="15"/>
  </w:num>
  <w:num w:numId="21">
    <w:abstractNumId w:val="11"/>
  </w:num>
  <w:num w:numId="22">
    <w:abstractNumId w:val="10"/>
  </w:num>
  <w:num w:numId="23">
    <w:abstractNumId w:val="9"/>
  </w:num>
  <w:num w:numId="24">
    <w:abstractNumId w:val="2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051D9"/>
    <w:rsid w:val="00056394"/>
    <w:rsid w:val="00063D8A"/>
    <w:rsid w:val="0006492B"/>
    <w:rsid w:val="000C0222"/>
    <w:rsid w:val="00100E9E"/>
    <w:rsid w:val="0014205A"/>
    <w:rsid w:val="00147991"/>
    <w:rsid w:val="00161D47"/>
    <w:rsid w:val="00194F97"/>
    <w:rsid w:val="001B2E5B"/>
    <w:rsid w:val="00323E0F"/>
    <w:rsid w:val="0032688D"/>
    <w:rsid w:val="00381525"/>
    <w:rsid w:val="003D49AA"/>
    <w:rsid w:val="004051D9"/>
    <w:rsid w:val="00411C0A"/>
    <w:rsid w:val="0041509C"/>
    <w:rsid w:val="004B006A"/>
    <w:rsid w:val="00504166"/>
    <w:rsid w:val="00560E65"/>
    <w:rsid w:val="00587E68"/>
    <w:rsid w:val="005E6B51"/>
    <w:rsid w:val="0060502D"/>
    <w:rsid w:val="00686D7A"/>
    <w:rsid w:val="00693207"/>
    <w:rsid w:val="0071176A"/>
    <w:rsid w:val="00822E48"/>
    <w:rsid w:val="00874D6C"/>
    <w:rsid w:val="00902E5C"/>
    <w:rsid w:val="00A119D1"/>
    <w:rsid w:val="00B32A39"/>
    <w:rsid w:val="00BA1B29"/>
    <w:rsid w:val="00BC0366"/>
    <w:rsid w:val="00C22978"/>
    <w:rsid w:val="00C84B49"/>
    <w:rsid w:val="00CB66BF"/>
    <w:rsid w:val="00D473A6"/>
    <w:rsid w:val="00D6271E"/>
    <w:rsid w:val="00DE4AA4"/>
    <w:rsid w:val="00E152D4"/>
    <w:rsid w:val="00E24D0A"/>
    <w:rsid w:val="00E53347"/>
    <w:rsid w:val="00E73F64"/>
    <w:rsid w:val="00E9554E"/>
    <w:rsid w:val="00F12B2B"/>
    <w:rsid w:val="00F63DC2"/>
    <w:rsid w:val="00F9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06A"/>
  </w:style>
  <w:style w:type="paragraph" w:styleId="Titolo1">
    <w:name w:val="heading 1"/>
    <w:basedOn w:val="Normale"/>
    <w:next w:val="Normale"/>
    <w:link w:val="Titolo1Carattere"/>
    <w:uiPriority w:val="99"/>
    <w:qFormat/>
    <w:rsid w:val="00822E48"/>
    <w:pPr>
      <w:keepNext/>
      <w:widowControl w:val="0"/>
      <w:snapToGrid w:val="0"/>
      <w:spacing w:after="0" w:line="240" w:lineRule="auto"/>
      <w:outlineLvl w:val="0"/>
    </w:pPr>
    <w:rPr>
      <w:rFonts w:ascii="GillSans" w:eastAsia="Times New Roman" w:hAnsi="GillSans" w:cs="GillSans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2E4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22E48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51D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3268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2688D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7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F948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F94862"/>
    <w:pPr>
      <w:spacing w:after="120"/>
    </w:pPr>
  </w:style>
  <w:style w:type="character" w:styleId="Enfasicorsivo">
    <w:name w:val="Emphasis"/>
    <w:basedOn w:val="Carpredefinitoparagrafo"/>
    <w:uiPriority w:val="99"/>
    <w:qFormat/>
    <w:rsid w:val="00F94862"/>
    <w:rPr>
      <w:rFonts w:cs="Times New Roman"/>
      <w:i/>
    </w:rPr>
  </w:style>
  <w:style w:type="paragraph" w:styleId="Nessunaspaziatura">
    <w:name w:val="No Spacing"/>
    <w:uiPriority w:val="99"/>
    <w:qFormat/>
    <w:rsid w:val="0071176A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411C0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1C0A"/>
    <w:rPr>
      <w:rFonts w:ascii="Consolas" w:eastAsia="Times New Roman" w:hAnsi="Consolas" w:cs="Times New Roman"/>
      <w:sz w:val="21"/>
      <w:szCs w:val="21"/>
    </w:rPr>
  </w:style>
  <w:style w:type="character" w:customStyle="1" w:styleId="linkneltesto">
    <w:name w:val="link_nel_testo"/>
    <w:basedOn w:val="Carpredefinitoparagrafo"/>
    <w:uiPriority w:val="99"/>
    <w:rsid w:val="00E9554E"/>
    <w:rPr>
      <w:rFonts w:cs="Times New Roman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22E48"/>
    <w:rPr>
      <w:rFonts w:ascii="GillSans" w:eastAsia="Times New Roman" w:hAnsi="GillSans" w:cs="GillSans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22E4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22E48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Bolloco">
    <w:name w:val="Bolloco"/>
    <w:basedOn w:val="Normale"/>
    <w:uiPriority w:val="99"/>
    <w:rsid w:val="00822E48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D49AA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3D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3D49AA"/>
    <w:rPr>
      <w:rFonts w:ascii="Consolas" w:hAnsi="Consolas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E533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533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55395ART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51901ART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55395ART0" TargetMode="External"/><Relationship Id="rId5" Type="http://schemas.openxmlformats.org/officeDocument/2006/relationships/hyperlink" Target="http://bd01.leggiditalia.it/cgi-bin/FulShow?TIPO=5&amp;NOTXT=1&amp;KEY=01LX0000751901ART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2014-12-09T12:50:00Z</dcterms:created>
  <dcterms:modified xsi:type="dcterms:W3CDTF">2015-04-08T08:47:00Z</dcterms:modified>
</cp:coreProperties>
</file>