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D9" w:rsidRPr="0006492B" w:rsidRDefault="005E6B51" w:rsidP="004051D9">
      <w:pPr>
        <w:rPr>
          <w:b/>
          <w:sz w:val="24"/>
          <w:szCs w:val="24"/>
        </w:rPr>
      </w:pPr>
      <w:r w:rsidRPr="0006492B">
        <w:rPr>
          <w:b/>
          <w:sz w:val="24"/>
          <w:szCs w:val="24"/>
        </w:rPr>
        <w:t xml:space="preserve">Elenco 1° semestre </w:t>
      </w:r>
      <w:r w:rsidR="00E24D0A" w:rsidRPr="0006492B">
        <w:rPr>
          <w:b/>
          <w:sz w:val="24"/>
          <w:szCs w:val="24"/>
        </w:rPr>
        <w:t xml:space="preserve"> 2014</w:t>
      </w:r>
      <w:r w:rsidR="004051D9" w:rsidRPr="0006492B">
        <w:rPr>
          <w:b/>
          <w:sz w:val="24"/>
          <w:szCs w:val="24"/>
        </w:rPr>
        <w:t xml:space="preserve"> </w:t>
      </w:r>
      <w:r w:rsidRPr="0006492B">
        <w:rPr>
          <w:b/>
          <w:sz w:val="24"/>
          <w:szCs w:val="24"/>
        </w:rPr>
        <w:t>delle delibere di Consiglio Comunale</w:t>
      </w:r>
      <w:r w:rsidR="004051D9" w:rsidRPr="0006492B">
        <w:rPr>
          <w:b/>
          <w:sz w:val="24"/>
          <w:szCs w:val="24"/>
        </w:rPr>
        <w:t xml:space="preserve"> che si riferiscono a:</w:t>
      </w:r>
    </w:p>
    <w:p w:rsidR="004051D9" w:rsidRPr="0006492B" w:rsidRDefault="004051D9" w:rsidP="004051D9">
      <w:pPr>
        <w:pStyle w:val="Paragrafoelenco"/>
        <w:numPr>
          <w:ilvl w:val="0"/>
          <w:numId w:val="1"/>
        </w:numPr>
        <w:rPr>
          <w:b/>
          <w:sz w:val="24"/>
          <w:szCs w:val="24"/>
        </w:rPr>
      </w:pPr>
      <w:r w:rsidRPr="0006492B">
        <w:rPr>
          <w:b/>
          <w:sz w:val="24"/>
          <w:szCs w:val="24"/>
        </w:rPr>
        <w:t>Accordi stipulati dall’Amministrazione con soggetti privati e con altre amministrazioni pubbliche</w:t>
      </w:r>
    </w:p>
    <w:p w:rsidR="004051D9" w:rsidRPr="0085031C" w:rsidRDefault="004051D9" w:rsidP="004051D9">
      <w:pPr>
        <w:rPr>
          <w:sz w:val="16"/>
          <w:szCs w:val="16"/>
        </w:rPr>
      </w:pPr>
    </w:p>
    <w:tbl>
      <w:tblPr>
        <w:tblStyle w:val="Grigliatabella"/>
        <w:tblW w:w="0" w:type="auto"/>
        <w:tblLook w:val="04A0"/>
      </w:tblPr>
      <w:tblGrid>
        <w:gridCol w:w="1826"/>
        <w:gridCol w:w="1737"/>
        <w:gridCol w:w="1722"/>
        <w:gridCol w:w="1919"/>
        <w:gridCol w:w="3696"/>
        <w:gridCol w:w="1719"/>
        <w:gridCol w:w="1884"/>
      </w:tblGrid>
      <w:tr w:rsidR="004051D9" w:rsidRPr="0085031C" w:rsidTr="00147991">
        <w:tc>
          <w:tcPr>
            <w:tcW w:w="1826" w:type="dxa"/>
          </w:tcPr>
          <w:p w:rsidR="004051D9" w:rsidRPr="0085031C" w:rsidRDefault="004051D9" w:rsidP="00662A4B">
            <w:pPr>
              <w:rPr>
                <w:b/>
                <w:sz w:val="16"/>
                <w:szCs w:val="16"/>
              </w:rPr>
            </w:pPr>
            <w:r>
              <w:rPr>
                <w:b/>
                <w:sz w:val="16"/>
                <w:szCs w:val="16"/>
              </w:rPr>
              <w:t>Organo di indirizzo politico che emana il provvedimento</w:t>
            </w:r>
          </w:p>
        </w:tc>
        <w:tc>
          <w:tcPr>
            <w:tcW w:w="1737" w:type="dxa"/>
          </w:tcPr>
          <w:p w:rsidR="004051D9" w:rsidRPr="0085031C" w:rsidRDefault="004051D9" w:rsidP="00662A4B">
            <w:pPr>
              <w:rPr>
                <w:b/>
                <w:sz w:val="16"/>
                <w:szCs w:val="16"/>
              </w:rPr>
            </w:pPr>
            <w:r w:rsidRPr="0085031C">
              <w:rPr>
                <w:b/>
                <w:sz w:val="16"/>
                <w:szCs w:val="16"/>
              </w:rPr>
              <w:t>ATTO</w:t>
            </w:r>
            <w:r>
              <w:rPr>
                <w:b/>
                <w:sz w:val="16"/>
                <w:szCs w:val="16"/>
              </w:rPr>
              <w:t xml:space="preserve"> (delibera di Giunta, delibera di consiglio, ordinanza, decreto , ecc.)</w:t>
            </w:r>
          </w:p>
        </w:tc>
        <w:tc>
          <w:tcPr>
            <w:tcW w:w="1722" w:type="dxa"/>
          </w:tcPr>
          <w:p w:rsidR="004051D9" w:rsidRPr="0085031C" w:rsidRDefault="004051D9" w:rsidP="00662A4B">
            <w:pPr>
              <w:rPr>
                <w:b/>
                <w:sz w:val="16"/>
                <w:szCs w:val="16"/>
              </w:rPr>
            </w:pPr>
            <w:r w:rsidRPr="0085031C">
              <w:rPr>
                <w:b/>
                <w:sz w:val="16"/>
                <w:szCs w:val="16"/>
              </w:rPr>
              <w:t>NUMERO E DATA ATTO</w:t>
            </w:r>
          </w:p>
        </w:tc>
        <w:tc>
          <w:tcPr>
            <w:tcW w:w="1919" w:type="dxa"/>
          </w:tcPr>
          <w:p w:rsidR="004051D9" w:rsidRPr="0085031C" w:rsidRDefault="004051D9" w:rsidP="00662A4B">
            <w:pPr>
              <w:rPr>
                <w:b/>
                <w:sz w:val="16"/>
                <w:szCs w:val="16"/>
              </w:rPr>
            </w:pPr>
            <w:r w:rsidRPr="0085031C">
              <w:rPr>
                <w:b/>
                <w:sz w:val="16"/>
                <w:szCs w:val="16"/>
              </w:rPr>
              <w:t>OGGETTO</w:t>
            </w:r>
          </w:p>
        </w:tc>
        <w:tc>
          <w:tcPr>
            <w:tcW w:w="3696" w:type="dxa"/>
          </w:tcPr>
          <w:p w:rsidR="004051D9" w:rsidRPr="0085031C" w:rsidRDefault="004051D9" w:rsidP="00662A4B">
            <w:pPr>
              <w:rPr>
                <w:b/>
                <w:sz w:val="16"/>
                <w:szCs w:val="16"/>
              </w:rPr>
            </w:pPr>
            <w:r w:rsidRPr="0085031C">
              <w:rPr>
                <w:b/>
                <w:sz w:val="16"/>
                <w:szCs w:val="16"/>
              </w:rPr>
              <w:t>CONTENUTO</w:t>
            </w:r>
          </w:p>
        </w:tc>
        <w:tc>
          <w:tcPr>
            <w:tcW w:w="1719" w:type="dxa"/>
          </w:tcPr>
          <w:p w:rsidR="004051D9" w:rsidRPr="0085031C" w:rsidRDefault="004051D9" w:rsidP="00662A4B">
            <w:pPr>
              <w:rPr>
                <w:b/>
                <w:sz w:val="16"/>
                <w:szCs w:val="16"/>
              </w:rPr>
            </w:pPr>
            <w:r w:rsidRPr="0085031C">
              <w:rPr>
                <w:b/>
                <w:sz w:val="16"/>
                <w:szCs w:val="16"/>
              </w:rPr>
              <w:t xml:space="preserve">SPESA PREVISTA </w:t>
            </w:r>
          </w:p>
        </w:tc>
        <w:tc>
          <w:tcPr>
            <w:tcW w:w="1884" w:type="dxa"/>
          </w:tcPr>
          <w:p w:rsidR="004051D9" w:rsidRPr="0085031C" w:rsidRDefault="004051D9" w:rsidP="00662A4B">
            <w:pPr>
              <w:rPr>
                <w:b/>
                <w:sz w:val="16"/>
                <w:szCs w:val="16"/>
              </w:rPr>
            </w:pPr>
            <w:r w:rsidRPr="0085031C">
              <w:rPr>
                <w:b/>
                <w:sz w:val="16"/>
                <w:szCs w:val="16"/>
              </w:rPr>
              <w:t>ESTREMI AI PRINCIPALI DOCUMENTI CONTENUTI NEL FASCICOLO RELATIVO AL PROCEDIMENTO</w:t>
            </w:r>
          </w:p>
        </w:tc>
      </w:tr>
      <w:tr w:rsidR="00E24D0A" w:rsidRPr="0085031C" w:rsidTr="006B1FF8">
        <w:tc>
          <w:tcPr>
            <w:tcW w:w="1826" w:type="dxa"/>
          </w:tcPr>
          <w:p w:rsidR="00E24D0A" w:rsidRDefault="00E24D0A" w:rsidP="006B1FF8">
            <w:pPr>
              <w:rPr>
                <w:b/>
                <w:sz w:val="16"/>
                <w:szCs w:val="16"/>
              </w:rPr>
            </w:pPr>
            <w:r>
              <w:rPr>
                <w:b/>
                <w:sz w:val="16"/>
                <w:szCs w:val="16"/>
              </w:rPr>
              <w:t>Consiglio Comunale</w:t>
            </w:r>
          </w:p>
        </w:tc>
        <w:tc>
          <w:tcPr>
            <w:tcW w:w="1737" w:type="dxa"/>
          </w:tcPr>
          <w:p w:rsidR="00E24D0A" w:rsidRPr="0085031C" w:rsidRDefault="00E24D0A" w:rsidP="006B1FF8">
            <w:pPr>
              <w:rPr>
                <w:b/>
                <w:sz w:val="16"/>
                <w:szCs w:val="16"/>
              </w:rPr>
            </w:pPr>
            <w:r>
              <w:rPr>
                <w:b/>
                <w:sz w:val="16"/>
                <w:szCs w:val="16"/>
              </w:rPr>
              <w:t>Delibera</w:t>
            </w:r>
          </w:p>
        </w:tc>
        <w:tc>
          <w:tcPr>
            <w:tcW w:w="1722" w:type="dxa"/>
          </w:tcPr>
          <w:p w:rsidR="00E24D0A" w:rsidRPr="0085031C" w:rsidRDefault="00E24D0A" w:rsidP="006B1FF8">
            <w:pPr>
              <w:rPr>
                <w:b/>
                <w:sz w:val="16"/>
                <w:szCs w:val="16"/>
              </w:rPr>
            </w:pPr>
            <w:r>
              <w:rPr>
                <w:b/>
                <w:sz w:val="16"/>
                <w:szCs w:val="16"/>
              </w:rPr>
              <w:t>n.14 del 10.4.2014</w:t>
            </w:r>
          </w:p>
        </w:tc>
        <w:tc>
          <w:tcPr>
            <w:tcW w:w="1919" w:type="dxa"/>
          </w:tcPr>
          <w:p w:rsidR="00E24D0A" w:rsidRPr="00A119D1" w:rsidRDefault="00E24D0A" w:rsidP="006B1FF8">
            <w:pPr>
              <w:rPr>
                <w:b/>
                <w:sz w:val="16"/>
                <w:szCs w:val="16"/>
              </w:rPr>
            </w:pPr>
            <w:r w:rsidRPr="00A119D1">
              <w:rPr>
                <w:b/>
                <w:sz w:val="16"/>
                <w:szCs w:val="16"/>
              </w:rPr>
              <w:t>CONVENZIONE E DISCIPLINARE PER LA VALORIZZAZIONE E GESTIONE DEI SISTEMI AMBIENTALI E CULTURALI (SAC).</w:t>
            </w:r>
          </w:p>
        </w:tc>
        <w:tc>
          <w:tcPr>
            <w:tcW w:w="3696" w:type="dxa"/>
          </w:tcPr>
          <w:p w:rsidR="00E24D0A" w:rsidRPr="00A119D1" w:rsidRDefault="0006492B" w:rsidP="006B1FF8">
            <w:pPr>
              <w:autoSpaceDE w:val="0"/>
              <w:autoSpaceDN w:val="0"/>
              <w:adjustRightInd w:val="0"/>
              <w:rPr>
                <w:rFonts w:cs="Tahoma"/>
                <w:sz w:val="16"/>
                <w:szCs w:val="16"/>
              </w:rPr>
            </w:pPr>
            <w:r>
              <w:rPr>
                <w:rFonts w:cs="Tahoma"/>
                <w:sz w:val="16"/>
                <w:szCs w:val="16"/>
              </w:rPr>
              <w:t xml:space="preserve">In </w:t>
            </w:r>
            <w:r w:rsidR="00E24D0A" w:rsidRPr="00A119D1">
              <w:rPr>
                <w:rFonts w:cs="Tahoma"/>
                <w:sz w:val="16"/>
                <w:szCs w:val="16"/>
              </w:rPr>
              <w:t xml:space="preserve">apertura di seduta, il Segretario Comunale procede all’appello: Consiglieri presenti in Aula, 13; Consiglieri assenti, 4 (Sindaco, Forte G., </w:t>
            </w:r>
            <w:proofErr w:type="spellStart"/>
            <w:r w:rsidR="00E24D0A" w:rsidRPr="00A119D1">
              <w:rPr>
                <w:rFonts w:cs="Tahoma"/>
                <w:sz w:val="16"/>
                <w:szCs w:val="16"/>
              </w:rPr>
              <w:t>Ianni</w:t>
            </w:r>
            <w:proofErr w:type="spellEnd"/>
            <w:r w:rsidR="00E24D0A" w:rsidRPr="00A119D1">
              <w:rPr>
                <w:rFonts w:cs="Tahoma"/>
                <w:sz w:val="16"/>
                <w:szCs w:val="16"/>
              </w:rPr>
              <w:t xml:space="preserve"> A., </w:t>
            </w:r>
            <w:proofErr w:type="spellStart"/>
            <w:r w:rsidR="00E24D0A" w:rsidRPr="00A119D1">
              <w:rPr>
                <w:rFonts w:cs="Tahoma"/>
                <w:sz w:val="16"/>
                <w:szCs w:val="16"/>
              </w:rPr>
              <w:t>Scarcella</w:t>
            </w:r>
            <w:proofErr w:type="spellEnd"/>
            <w:r w:rsidR="00E24D0A" w:rsidRPr="00A119D1">
              <w:rPr>
                <w:rFonts w:cs="Tahoma"/>
                <w:sz w:val="16"/>
                <w:szCs w:val="16"/>
              </w:rPr>
              <w:t xml:space="preserve"> A.) – la seduta è valida.</w:t>
            </w:r>
          </w:p>
          <w:p w:rsidR="00E24D0A" w:rsidRPr="00A119D1" w:rsidRDefault="00E24D0A" w:rsidP="006B1FF8">
            <w:pPr>
              <w:autoSpaceDE w:val="0"/>
              <w:autoSpaceDN w:val="0"/>
              <w:adjustRightInd w:val="0"/>
              <w:rPr>
                <w:rFonts w:cs="Tahoma"/>
                <w:sz w:val="16"/>
                <w:szCs w:val="16"/>
              </w:rPr>
            </w:pPr>
          </w:p>
          <w:p w:rsidR="00E24D0A" w:rsidRPr="00A119D1" w:rsidRDefault="00E24D0A" w:rsidP="006B1FF8">
            <w:pPr>
              <w:autoSpaceDE w:val="0"/>
              <w:autoSpaceDN w:val="0"/>
              <w:adjustRightInd w:val="0"/>
              <w:rPr>
                <w:rFonts w:cs="Tahoma"/>
                <w:sz w:val="16"/>
                <w:szCs w:val="16"/>
              </w:rPr>
            </w:pPr>
            <w:r w:rsidRPr="00A119D1">
              <w:rPr>
                <w:rFonts w:cs="Tahoma"/>
                <w:sz w:val="16"/>
                <w:szCs w:val="16"/>
              </w:rPr>
              <w:t xml:space="preserve">  Relaziona il cons. Ardito Antonio, come da trascrizione integrale allegata. </w:t>
            </w:r>
          </w:p>
          <w:p w:rsidR="00E24D0A" w:rsidRPr="00A119D1" w:rsidRDefault="00E24D0A" w:rsidP="006B1FF8">
            <w:pPr>
              <w:autoSpaceDE w:val="0"/>
              <w:autoSpaceDN w:val="0"/>
              <w:adjustRightInd w:val="0"/>
              <w:rPr>
                <w:rFonts w:cs="Tahoma"/>
                <w:sz w:val="16"/>
                <w:szCs w:val="16"/>
              </w:rPr>
            </w:pPr>
          </w:p>
          <w:p w:rsidR="00E24D0A" w:rsidRPr="00A119D1" w:rsidRDefault="00E24D0A" w:rsidP="006B1FF8">
            <w:pPr>
              <w:autoSpaceDE w:val="0"/>
              <w:autoSpaceDN w:val="0"/>
              <w:adjustRightInd w:val="0"/>
              <w:rPr>
                <w:rFonts w:cs="Tahoma"/>
                <w:sz w:val="16"/>
                <w:szCs w:val="16"/>
              </w:rPr>
            </w:pPr>
            <w:r w:rsidRPr="00A119D1">
              <w:rPr>
                <w:rFonts w:cs="Tahoma"/>
                <w:sz w:val="16"/>
                <w:szCs w:val="16"/>
              </w:rPr>
              <w:t xml:space="preserve">    Intervengono i Consiglieri Dell’Abate, </w:t>
            </w:r>
            <w:proofErr w:type="spellStart"/>
            <w:r w:rsidRPr="00A119D1">
              <w:rPr>
                <w:rFonts w:cs="Tahoma"/>
                <w:sz w:val="16"/>
                <w:szCs w:val="16"/>
              </w:rPr>
              <w:t>Alfarano</w:t>
            </w:r>
            <w:proofErr w:type="spellEnd"/>
            <w:r w:rsidRPr="00A119D1">
              <w:rPr>
                <w:rFonts w:cs="Tahoma"/>
                <w:sz w:val="16"/>
                <w:szCs w:val="16"/>
              </w:rPr>
              <w:t xml:space="preserve">, </w:t>
            </w:r>
            <w:proofErr w:type="spellStart"/>
            <w:r w:rsidRPr="00A119D1">
              <w:rPr>
                <w:rFonts w:cs="Tahoma"/>
                <w:sz w:val="16"/>
                <w:szCs w:val="16"/>
              </w:rPr>
              <w:t>Zocco</w:t>
            </w:r>
            <w:proofErr w:type="spellEnd"/>
            <w:r w:rsidRPr="00A119D1">
              <w:rPr>
                <w:rFonts w:cs="Tahoma"/>
                <w:sz w:val="16"/>
                <w:szCs w:val="16"/>
              </w:rPr>
              <w:t xml:space="preserve"> Carmine, come da trascrizione integrale allegata.</w:t>
            </w:r>
          </w:p>
          <w:p w:rsidR="00E24D0A" w:rsidRPr="00A119D1" w:rsidRDefault="00E24D0A" w:rsidP="006B1FF8">
            <w:pPr>
              <w:autoSpaceDE w:val="0"/>
              <w:autoSpaceDN w:val="0"/>
              <w:adjustRightInd w:val="0"/>
              <w:rPr>
                <w:rFonts w:cs="Tahoma"/>
                <w:sz w:val="16"/>
                <w:szCs w:val="16"/>
              </w:rPr>
            </w:pPr>
          </w:p>
          <w:p w:rsidR="00E24D0A" w:rsidRPr="00A119D1" w:rsidRDefault="00E24D0A" w:rsidP="006B1FF8">
            <w:pPr>
              <w:autoSpaceDE w:val="0"/>
              <w:autoSpaceDN w:val="0"/>
              <w:adjustRightInd w:val="0"/>
              <w:rPr>
                <w:rFonts w:cs="Tahoma"/>
                <w:b/>
                <w:sz w:val="16"/>
                <w:szCs w:val="16"/>
              </w:rPr>
            </w:pPr>
            <w:r w:rsidRPr="00A119D1">
              <w:rPr>
                <w:rFonts w:cs="Tahoma"/>
                <w:sz w:val="16"/>
                <w:szCs w:val="16"/>
              </w:rPr>
              <w:tab/>
            </w:r>
            <w:r w:rsidRPr="00A119D1">
              <w:rPr>
                <w:rFonts w:cs="Tahoma"/>
                <w:sz w:val="16"/>
                <w:szCs w:val="16"/>
              </w:rPr>
              <w:tab/>
            </w:r>
            <w:r w:rsidRPr="00A119D1">
              <w:rPr>
                <w:rFonts w:cs="Tahoma"/>
                <w:sz w:val="16"/>
                <w:szCs w:val="16"/>
              </w:rPr>
              <w:tab/>
            </w:r>
            <w:r w:rsidRPr="00A119D1">
              <w:rPr>
                <w:rFonts w:cs="Tahoma"/>
                <w:sz w:val="16"/>
                <w:szCs w:val="16"/>
              </w:rPr>
              <w:tab/>
            </w:r>
            <w:r w:rsidRPr="00A119D1">
              <w:rPr>
                <w:rFonts w:cs="Tahoma"/>
                <w:sz w:val="16"/>
                <w:szCs w:val="16"/>
              </w:rPr>
              <w:tab/>
            </w:r>
            <w:r w:rsidRPr="00A119D1">
              <w:rPr>
                <w:rFonts w:cs="Tahoma"/>
                <w:b/>
                <w:sz w:val="16"/>
                <w:szCs w:val="16"/>
              </w:rPr>
              <w:t>IL CONSIGLIO COMUNALE</w:t>
            </w:r>
          </w:p>
          <w:p w:rsidR="00E24D0A" w:rsidRPr="00A119D1" w:rsidRDefault="00E24D0A" w:rsidP="006B1FF8">
            <w:pPr>
              <w:autoSpaceDE w:val="0"/>
              <w:autoSpaceDN w:val="0"/>
              <w:adjustRightInd w:val="0"/>
              <w:rPr>
                <w:rFonts w:cs="Tahoma"/>
                <w:sz w:val="16"/>
                <w:szCs w:val="16"/>
              </w:rPr>
            </w:pPr>
            <w:r w:rsidRPr="00A119D1">
              <w:rPr>
                <w:rFonts w:cs="Tahoma"/>
                <w:sz w:val="16"/>
                <w:szCs w:val="16"/>
              </w:rPr>
              <w:t>PREMESSO:</w:t>
            </w:r>
          </w:p>
          <w:p w:rsidR="00E24D0A" w:rsidRPr="00A119D1" w:rsidRDefault="00E24D0A" w:rsidP="006B1FF8">
            <w:pPr>
              <w:autoSpaceDE w:val="0"/>
              <w:autoSpaceDN w:val="0"/>
              <w:adjustRightInd w:val="0"/>
              <w:rPr>
                <w:rFonts w:cs="Tahoma"/>
                <w:sz w:val="16"/>
                <w:szCs w:val="16"/>
              </w:rPr>
            </w:pP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xml:space="preserve">– che il Programma Operativo (PO) FESR Puglia 2007-2013, approvato dalla Commissione Europea con Decisione C(2007) 5726 del 20.11.2007, e ratificato con </w:t>
            </w:r>
            <w:proofErr w:type="spellStart"/>
            <w:r w:rsidRPr="00A119D1">
              <w:rPr>
                <w:rFonts w:cs="Tahoma"/>
                <w:sz w:val="16"/>
                <w:szCs w:val="16"/>
              </w:rPr>
              <w:t>D.G.R.</w:t>
            </w:r>
            <w:proofErr w:type="spellEnd"/>
            <w:r w:rsidRPr="00A119D1">
              <w:rPr>
                <w:rFonts w:cs="Tahoma"/>
                <w:sz w:val="16"/>
                <w:szCs w:val="16"/>
              </w:rPr>
              <w:t xml:space="preserve"> n. 146 del 12.02.2008, ha individuato nella valorizzazione del patrimonio ambientale e culturale una priorità dell’azione regionale per lo sviluppo socioeconomico e l’</w:t>
            </w:r>
            <w:proofErr w:type="spellStart"/>
            <w:r w:rsidRPr="00A119D1">
              <w:rPr>
                <w:rFonts w:cs="Tahoma"/>
                <w:sz w:val="16"/>
                <w:szCs w:val="16"/>
              </w:rPr>
              <w:t>attrattività</w:t>
            </w:r>
            <w:proofErr w:type="spellEnd"/>
            <w:r w:rsidRPr="00A119D1">
              <w:rPr>
                <w:rFonts w:cs="Tahoma"/>
                <w:sz w:val="16"/>
                <w:szCs w:val="16"/>
              </w:rPr>
              <w:t xml:space="preserve"> del territorio pugliese, dedicando ad essa l’Asse IV “Valorizzazione delle risorse naturali e culturali per l’</w:t>
            </w:r>
            <w:proofErr w:type="spellStart"/>
            <w:r w:rsidRPr="00A119D1">
              <w:rPr>
                <w:rFonts w:cs="Tahoma"/>
                <w:sz w:val="16"/>
                <w:szCs w:val="16"/>
              </w:rPr>
              <w:t>attrattività</w:t>
            </w:r>
            <w:proofErr w:type="spellEnd"/>
            <w:r w:rsidRPr="00A119D1">
              <w:rPr>
                <w:rFonts w:cs="Tahoma"/>
                <w:sz w:val="16"/>
                <w:szCs w:val="16"/>
              </w:rPr>
              <w:t xml:space="preserve"> e lo sviluppo”;</w:t>
            </w: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xml:space="preserve">– che il Programma di Attuazione Pluriennale (PPA) 2007-2010 dell’Asse IV del PO FESR, approvato con Delibera di Giunta Regionale del 30 giugno 2009 n. </w:t>
            </w:r>
            <w:smartTag w:uri="urn:schemas-microsoft-com:office:smarttags" w:element="metricconverter">
              <w:smartTagPr>
                <w:attr w:name="ProductID" w:val="1150, ha"/>
              </w:smartTagPr>
              <w:r w:rsidRPr="00A119D1">
                <w:rPr>
                  <w:rFonts w:cs="Tahoma"/>
                  <w:sz w:val="16"/>
                  <w:szCs w:val="16"/>
                </w:rPr>
                <w:t>1150, ha</w:t>
              </w:r>
            </w:smartTag>
            <w:r w:rsidRPr="00A119D1">
              <w:rPr>
                <w:rFonts w:cs="Tahoma"/>
                <w:sz w:val="16"/>
                <w:szCs w:val="16"/>
              </w:rPr>
              <w:t xml:space="preserve"> dettagliato modalità e dispositivi per la selezione, il finanziamento e l’attuazione delle operazioni a valere su quest’Asse;</w:t>
            </w: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xml:space="preserve">che con </w:t>
            </w:r>
            <w:proofErr w:type="spellStart"/>
            <w:r w:rsidRPr="00A119D1">
              <w:rPr>
                <w:rFonts w:cs="Tahoma"/>
                <w:sz w:val="16"/>
                <w:szCs w:val="16"/>
              </w:rPr>
              <w:t>D.G.R.</w:t>
            </w:r>
            <w:proofErr w:type="spellEnd"/>
            <w:r w:rsidRPr="00A119D1">
              <w:rPr>
                <w:rFonts w:cs="Tahoma"/>
                <w:sz w:val="16"/>
                <w:szCs w:val="16"/>
              </w:rPr>
              <w:t xml:space="preserve"> n. 2941 del 29.12.2011 la Giunta Regionale ha preso atto della Decisione Comunitaria C(2011) 9029 dell’01.12.2011 che adotta il nuovo P.O. FESR Puglia 2007-2013, e che con </w:t>
            </w:r>
            <w:proofErr w:type="spellStart"/>
            <w:r w:rsidRPr="00A119D1">
              <w:rPr>
                <w:rFonts w:cs="Tahoma"/>
                <w:sz w:val="16"/>
                <w:szCs w:val="16"/>
              </w:rPr>
              <w:t>D.G.R.</w:t>
            </w:r>
            <w:proofErr w:type="spellEnd"/>
            <w:r w:rsidRPr="00A119D1">
              <w:rPr>
                <w:rFonts w:cs="Tahoma"/>
                <w:sz w:val="16"/>
                <w:szCs w:val="16"/>
              </w:rPr>
              <w:t xml:space="preserve"> n. 28 </w:t>
            </w:r>
            <w:r w:rsidRPr="00A119D1">
              <w:rPr>
                <w:rFonts w:cs="Tahoma"/>
                <w:sz w:val="16"/>
                <w:szCs w:val="16"/>
              </w:rPr>
              <w:lastRenderedPageBreak/>
              <w:t>del 29.01.2013 si è preso atto della Decisione della Commissione C(2012) 9313 del 06.12.2012 di rimodulazione dello stesso P.O.;</w:t>
            </w: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xml:space="preserve">che con </w:t>
            </w:r>
            <w:proofErr w:type="spellStart"/>
            <w:r w:rsidRPr="00A119D1">
              <w:rPr>
                <w:rFonts w:cs="Tahoma"/>
                <w:sz w:val="16"/>
                <w:szCs w:val="16"/>
              </w:rPr>
              <w:t>D.G.R.</w:t>
            </w:r>
            <w:proofErr w:type="spellEnd"/>
            <w:r w:rsidRPr="00A119D1">
              <w:rPr>
                <w:rFonts w:cs="Tahoma"/>
                <w:sz w:val="16"/>
                <w:szCs w:val="16"/>
              </w:rPr>
              <w:t xml:space="preserve"> n. 803 del 26.04.2013 è stato modificato il Programma Pluriennale di Asse IV (PPA) – P.O. FESR 2007-2012;</w:t>
            </w: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che lo stesso PPA dell’Asse IV dettaglia le modalità operative per l’attuazione delle strategie territoriali integrate di valorizzazione delle risorse naturali, culturali e turistiche della Puglia, con riferimento al PO FESR;</w:t>
            </w: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che per ottenere un adeguato impatto territoriale degli interventi di valorizzazione culturale, ambientale e turistica, favorendo la generazione di economie distrettuali, la stessa Amministrazione Regionale ha promosso la valorizzazione e gestione sul territorio di Sistemi Ambientali e Culturali (SAC);</w:t>
            </w: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xml:space="preserve">– che tali Sistemi si definiscono come aggregazioni di risorse ambientali e culturali del territorio, adeguatamente organizzate e gestite in ragione della capacità di promuovere percorsi di valorizzazione, sviluppo e cooperazione interistituzionale, sulla base di una idea forza capace di attivare percorsi avanzati di </w:t>
            </w:r>
            <w:proofErr w:type="spellStart"/>
            <w:r w:rsidRPr="00A119D1">
              <w:rPr>
                <w:rFonts w:cs="Tahoma"/>
                <w:sz w:val="16"/>
                <w:szCs w:val="16"/>
              </w:rPr>
              <w:t>attrattività</w:t>
            </w:r>
            <w:proofErr w:type="spellEnd"/>
            <w:r w:rsidRPr="00A119D1">
              <w:rPr>
                <w:rFonts w:cs="Tahoma"/>
                <w:sz w:val="16"/>
                <w:szCs w:val="16"/>
              </w:rPr>
              <w:t xml:space="preserve"> regionale, anche attraverso la crescita e la qualificazione dei flussi turistici;</w:t>
            </w: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che il “Disciplinare per la valorizzazione e la gestione dei Sistemi Ambientali e Culturali (SAC) della Regione Puglia” ha precisato caratteristiche, obiettivi e modalità di definizione e selezione dei SAC;</w:t>
            </w: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xml:space="preserve">- che l’Avviso pubblico “Invito a manifestare interesse per la valorizzazione e gestione dei Sistemi Ambientali e Culturali (SAC) della Regione Puglia e per l’attuazione territoriale dell’Azione 4.2.2 e dell’Azione 4.4.2 del PO FESR Puglia (2007-2013)” [d’ora in avanti denominato semplicemente Avviso pubblico], pubblicato sul Bollettino Regionale 167 del 04.11.2010, prevede che le coalizioni </w:t>
            </w:r>
            <w:proofErr w:type="spellStart"/>
            <w:r w:rsidRPr="00A119D1">
              <w:rPr>
                <w:rFonts w:cs="Tahoma"/>
                <w:sz w:val="16"/>
                <w:szCs w:val="16"/>
              </w:rPr>
              <w:t>partenariali</w:t>
            </w:r>
            <w:proofErr w:type="spellEnd"/>
            <w:r w:rsidRPr="00A119D1">
              <w:rPr>
                <w:rFonts w:cs="Tahoma"/>
                <w:sz w:val="16"/>
                <w:szCs w:val="16"/>
              </w:rPr>
              <w:t xml:space="preserve"> dei SAC siano formate da Enti Locali e loro associazioni, Enti Parco, Organismi di diritto pubblico aventi nell’atto costitutivo e/o nello statuto la finalità di utilità sociale, culturale, ambientale e di promozione del turismo, altri enti pubblici nonché da organismi rappresentativi di interessi diffusi, soggetti privati senza scopo di lucro (quali associazioni ed enti di promozione sociale, culturale, turistica o sportiva), enti ecclesiastici, fondazioni ed altri soggetti che intendano contribuire alla definizione del SAC e stimolare sviluppo e occupazione;</w:t>
            </w: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xml:space="preserve">- che lo stesso Avviso pubblico stabiliva che per la </w:t>
            </w:r>
            <w:r w:rsidRPr="00A119D1">
              <w:rPr>
                <w:rFonts w:cs="Tahoma"/>
                <w:sz w:val="16"/>
                <w:szCs w:val="16"/>
              </w:rPr>
              <w:lastRenderedPageBreak/>
              <w:t xml:space="preserve">presentazione della Proposta di valorizzazione e gestione integrata dei SAC (d’ora innanzi denominata Proposta) i partenariati territoriali costituiti da tali enti ed organismi debbano stipulare un Protocollo di Intesa, che individui il Soggetto Capofila, la composizione del partenariato, le modalità di </w:t>
            </w:r>
            <w:proofErr w:type="spellStart"/>
            <w:r w:rsidRPr="00A119D1">
              <w:rPr>
                <w:rFonts w:cs="Tahoma"/>
                <w:sz w:val="16"/>
                <w:szCs w:val="16"/>
              </w:rPr>
              <w:t>governance</w:t>
            </w:r>
            <w:proofErr w:type="spellEnd"/>
            <w:r w:rsidRPr="00A119D1">
              <w:rPr>
                <w:rFonts w:cs="Tahoma"/>
                <w:sz w:val="16"/>
                <w:szCs w:val="16"/>
              </w:rPr>
              <w:t xml:space="preserve"> ed organizzative del SAC, la Proposta a base dell’accordo e gli impegni dei firmatari;</w:t>
            </w:r>
          </w:p>
          <w:p w:rsidR="00E24D0A" w:rsidRPr="00A119D1" w:rsidRDefault="00E24D0A" w:rsidP="006B1FF8">
            <w:pPr>
              <w:autoSpaceDE w:val="0"/>
              <w:autoSpaceDN w:val="0"/>
              <w:adjustRightInd w:val="0"/>
              <w:rPr>
                <w:rFonts w:cs="Tahoma"/>
                <w:sz w:val="16"/>
                <w:szCs w:val="16"/>
              </w:rPr>
            </w:pPr>
          </w:p>
          <w:p w:rsidR="00E24D0A" w:rsidRPr="00A119D1" w:rsidRDefault="00E24D0A" w:rsidP="006B1FF8">
            <w:pPr>
              <w:autoSpaceDE w:val="0"/>
              <w:autoSpaceDN w:val="0"/>
              <w:adjustRightInd w:val="0"/>
              <w:rPr>
                <w:rFonts w:cs="Tahoma"/>
                <w:sz w:val="16"/>
                <w:szCs w:val="16"/>
              </w:rPr>
            </w:pPr>
            <w:r w:rsidRPr="00A119D1">
              <w:rPr>
                <w:rFonts w:cs="Tahoma"/>
                <w:sz w:val="16"/>
                <w:szCs w:val="16"/>
              </w:rPr>
              <w:t>VISTO E RICHIAMATO</w:t>
            </w: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xml:space="preserve">in ogni sua parte il Protocollo di Intesa con cui, per la presentazione della proposta a seguito del bando regionale, la coalizione </w:t>
            </w:r>
            <w:proofErr w:type="spellStart"/>
            <w:r w:rsidRPr="00A119D1">
              <w:rPr>
                <w:rFonts w:cs="Tahoma"/>
                <w:sz w:val="16"/>
                <w:szCs w:val="16"/>
              </w:rPr>
              <w:t>parternariale</w:t>
            </w:r>
            <w:proofErr w:type="spellEnd"/>
            <w:r w:rsidRPr="00A119D1">
              <w:rPr>
                <w:rFonts w:cs="Tahoma"/>
                <w:sz w:val="16"/>
                <w:szCs w:val="16"/>
              </w:rPr>
              <w:t xml:space="preserve"> ha individuato nel Parco Regionale Costa Otranto  </w:t>
            </w:r>
            <w:proofErr w:type="spellStart"/>
            <w:r w:rsidRPr="00A119D1">
              <w:rPr>
                <w:rFonts w:cs="Tahoma"/>
                <w:sz w:val="16"/>
                <w:szCs w:val="16"/>
              </w:rPr>
              <w:t>S.Maria</w:t>
            </w:r>
            <w:proofErr w:type="spellEnd"/>
            <w:r w:rsidRPr="00A119D1">
              <w:rPr>
                <w:rFonts w:cs="Tahoma"/>
                <w:sz w:val="16"/>
                <w:szCs w:val="16"/>
              </w:rPr>
              <w:t xml:space="preserve"> di </w:t>
            </w:r>
            <w:proofErr w:type="spellStart"/>
            <w:r w:rsidRPr="00A119D1">
              <w:rPr>
                <w:rFonts w:cs="Tahoma"/>
                <w:sz w:val="16"/>
                <w:szCs w:val="16"/>
              </w:rPr>
              <w:t>Leuca</w:t>
            </w:r>
            <w:proofErr w:type="spellEnd"/>
            <w:r w:rsidRPr="00A119D1">
              <w:rPr>
                <w:rFonts w:cs="Tahoma"/>
                <w:sz w:val="16"/>
                <w:szCs w:val="16"/>
              </w:rPr>
              <w:t xml:space="preserve"> e Bosco di </w:t>
            </w:r>
            <w:proofErr w:type="spellStart"/>
            <w:r w:rsidRPr="00A119D1">
              <w:rPr>
                <w:rFonts w:cs="Tahoma"/>
                <w:sz w:val="16"/>
                <w:szCs w:val="16"/>
              </w:rPr>
              <w:t>Tricase</w:t>
            </w:r>
            <w:proofErr w:type="spellEnd"/>
            <w:r w:rsidRPr="00A119D1">
              <w:rPr>
                <w:rFonts w:cs="Tahoma"/>
                <w:sz w:val="16"/>
                <w:szCs w:val="16"/>
              </w:rPr>
              <w:t xml:space="preserve"> il Soggetto Capofila, stabilito la composizione del partenariato, le modalità di </w:t>
            </w:r>
            <w:proofErr w:type="spellStart"/>
            <w:r w:rsidRPr="00A119D1">
              <w:rPr>
                <w:rFonts w:cs="Tahoma"/>
                <w:sz w:val="16"/>
                <w:szCs w:val="16"/>
              </w:rPr>
              <w:t>governance</w:t>
            </w:r>
            <w:proofErr w:type="spellEnd"/>
            <w:r w:rsidRPr="00A119D1">
              <w:rPr>
                <w:rFonts w:cs="Tahoma"/>
                <w:sz w:val="16"/>
                <w:szCs w:val="16"/>
              </w:rPr>
              <w:t xml:space="preserve"> ed organizzative del SAC, la Proposta a base dell’accordo, condivisa dai partner aderenti alla coalizione, con la specifica identificazione di operazioni candidabili a valere sulle Azioni 4.2.2 e 4.4.2 (lettere e-f) del PO FESR Puglia (2007-2013), e previsto gli impegni dei firmatari e approvato i documenti progettuali;</w:t>
            </w:r>
          </w:p>
          <w:p w:rsidR="00E24D0A" w:rsidRPr="00A119D1" w:rsidRDefault="00E24D0A" w:rsidP="006B1FF8">
            <w:pPr>
              <w:autoSpaceDE w:val="0"/>
              <w:autoSpaceDN w:val="0"/>
              <w:adjustRightInd w:val="0"/>
              <w:rPr>
                <w:rFonts w:cs="Tahoma"/>
                <w:sz w:val="16"/>
                <w:szCs w:val="16"/>
              </w:rPr>
            </w:pPr>
          </w:p>
          <w:p w:rsidR="00E24D0A" w:rsidRPr="00A119D1" w:rsidRDefault="00E24D0A" w:rsidP="006B1FF8">
            <w:pPr>
              <w:autoSpaceDE w:val="0"/>
              <w:autoSpaceDN w:val="0"/>
              <w:adjustRightInd w:val="0"/>
              <w:rPr>
                <w:rFonts w:cs="Tahoma"/>
                <w:sz w:val="16"/>
                <w:szCs w:val="16"/>
              </w:rPr>
            </w:pPr>
            <w:r w:rsidRPr="00A119D1">
              <w:rPr>
                <w:rFonts w:cs="Tahoma"/>
                <w:sz w:val="16"/>
                <w:szCs w:val="16"/>
              </w:rPr>
              <w:t>CONSIDERATO CHE:</w:t>
            </w:r>
          </w:p>
          <w:p w:rsidR="00E24D0A" w:rsidRPr="00A119D1" w:rsidRDefault="00E24D0A" w:rsidP="006B1FF8">
            <w:pPr>
              <w:pStyle w:val="Paragrafoelenco"/>
              <w:numPr>
                <w:ilvl w:val="0"/>
                <w:numId w:val="10"/>
              </w:numPr>
              <w:autoSpaceDE w:val="0"/>
              <w:autoSpaceDN w:val="0"/>
              <w:adjustRightInd w:val="0"/>
              <w:jc w:val="both"/>
              <w:rPr>
                <w:rFonts w:cs="Tahoma"/>
                <w:sz w:val="16"/>
                <w:szCs w:val="16"/>
              </w:rPr>
            </w:pPr>
            <w:r w:rsidRPr="00A119D1">
              <w:rPr>
                <w:rFonts w:cs="Tahoma"/>
                <w:sz w:val="16"/>
                <w:szCs w:val="16"/>
              </w:rPr>
              <w:t>La Regione Puglia con determinazione 551/2013 del servizio Assetto del Territorio ha valutato positivamente la proposta presentata dal SAC PORTA D’ORIENTE ed approvato la stessa come emersa nel corso della fase negoziale (allegato 2) con le relative schede operazioni (Allegato 3) e connesso  Programma Gestionale e per un importo di €  899.364,86;</w:t>
            </w:r>
          </w:p>
          <w:p w:rsidR="00E24D0A" w:rsidRPr="00A119D1" w:rsidRDefault="00E24D0A" w:rsidP="006B1FF8">
            <w:pPr>
              <w:pStyle w:val="Paragrafoelenco"/>
              <w:numPr>
                <w:ilvl w:val="0"/>
                <w:numId w:val="10"/>
              </w:numPr>
              <w:autoSpaceDE w:val="0"/>
              <w:autoSpaceDN w:val="0"/>
              <w:adjustRightInd w:val="0"/>
              <w:jc w:val="both"/>
              <w:rPr>
                <w:rFonts w:cs="Tahoma"/>
                <w:sz w:val="16"/>
                <w:szCs w:val="16"/>
              </w:rPr>
            </w:pPr>
            <w:r w:rsidRPr="00A119D1">
              <w:rPr>
                <w:rFonts w:cs="Tahoma"/>
                <w:sz w:val="16"/>
                <w:szCs w:val="16"/>
              </w:rPr>
              <w:t>l’Ente Beneficiario capofila del SAC ha sottoscritto il relativo  Disciplinare in data 11.02.2014;</w:t>
            </w:r>
          </w:p>
          <w:p w:rsidR="00E24D0A" w:rsidRPr="00A119D1" w:rsidRDefault="00E24D0A" w:rsidP="006B1FF8">
            <w:pPr>
              <w:pStyle w:val="Paragrafoelenco"/>
              <w:numPr>
                <w:ilvl w:val="0"/>
                <w:numId w:val="10"/>
              </w:numPr>
              <w:autoSpaceDE w:val="0"/>
              <w:autoSpaceDN w:val="0"/>
              <w:adjustRightInd w:val="0"/>
              <w:jc w:val="both"/>
              <w:rPr>
                <w:rFonts w:cs="Tahoma"/>
                <w:sz w:val="16"/>
                <w:szCs w:val="16"/>
              </w:rPr>
            </w:pPr>
            <w:r w:rsidRPr="00A119D1">
              <w:rPr>
                <w:rFonts w:cs="Tahoma"/>
                <w:sz w:val="16"/>
                <w:szCs w:val="16"/>
              </w:rPr>
              <w:t xml:space="preserve">il Disciplinare di cui sopra contiene l’obbligo di approvazione del Programma Gestionale da parte del SAC comprensivo della Convenzione tra i comuni </w:t>
            </w:r>
            <w:proofErr w:type="spellStart"/>
            <w:r w:rsidRPr="00A119D1">
              <w:rPr>
                <w:rFonts w:cs="Tahoma"/>
                <w:sz w:val="16"/>
                <w:szCs w:val="16"/>
              </w:rPr>
              <w:t>partners</w:t>
            </w:r>
            <w:proofErr w:type="spellEnd"/>
            <w:r w:rsidRPr="00A119D1">
              <w:rPr>
                <w:rFonts w:cs="Tahoma"/>
                <w:sz w:val="16"/>
                <w:szCs w:val="16"/>
              </w:rPr>
              <w:t xml:space="preserve">; </w:t>
            </w:r>
          </w:p>
          <w:p w:rsidR="00E24D0A" w:rsidRPr="00A119D1" w:rsidRDefault="00E24D0A" w:rsidP="006B1FF8">
            <w:pPr>
              <w:pStyle w:val="Paragrafoelenco"/>
              <w:numPr>
                <w:ilvl w:val="0"/>
                <w:numId w:val="10"/>
              </w:numPr>
              <w:spacing w:after="120"/>
              <w:jc w:val="both"/>
              <w:rPr>
                <w:rFonts w:cs="Tahoma"/>
                <w:sz w:val="16"/>
                <w:szCs w:val="16"/>
              </w:rPr>
            </w:pPr>
            <w:r w:rsidRPr="00A119D1">
              <w:rPr>
                <w:rFonts w:cs="Tahoma"/>
                <w:sz w:val="16"/>
                <w:szCs w:val="16"/>
              </w:rPr>
              <w:t xml:space="preserve">nel Programma Gestionale si legge che vanno considerate separatamente da un lato la gestione delle procedure di progettazione, attuazione e rendicontazione degli investimenti del SAC, dall’altro la gestione relativa all’erogazione dei servizi di valorizzazione </w:t>
            </w:r>
            <w:r w:rsidRPr="00A119D1">
              <w:rPr>
                <w:rFonts w:cs="Tahoma"/>
                <w:sz w:val="16"/>
                <w:szCs w:val="16"/>
              </w:rPr>
              <w:lastRenderedPageBreak/>
              <w:t xml:space="preserve">integrata. </w:t>
            </w:r>
          </w:p>
          <w:p w:rsidR="00E24D0A" w:rsidRPr="00A119D1" w:rsidRDefault="00E24D0A" w:rsidP="006B1FF8">
            <w:pPr>
              <w:pStyle w:val="Paragrafoelenco"/>
              <w:numPr>
                <w:ilvl w:val="0"/>
                <w:numId w:val="10"/>
              </w:numPr>
              <w:spacing w:after="120"/>
              <w:jc w:val="both"/>
              <w:rPr>
                <w:rFonts w:cs="Tahoma"/>
                <w:sz w:val="16"/>
                <w:szCs w:val="16"/>
              </w:rPr>
            </w:pPr>
            <w:r w:rsidRPr="00A119D1">
              <w:rPr>
                <w:rFonts w:cs="Tahoma"/>
                <w:sz w:val="16"/>
                <w:szCs w:val="16"/>
              </w:rPr>
              <w:t>lo stesso Programma stabilisce che l’attuazione delle operazioni finanziate sia competenza dell’Ente Capofila individuato con la presentazione della proposta, mentre parallela alla realizzazione di queste fasi è la costituzione dell’organismo che gestisce la fase di erogazione dei servizi di valorizzazione integrata;</w:t>
            </w:r>
          </w:p>
          <w:p w:rsidR="00E24D0A" w:rsidRPr="00A119D1" w:rsidRDefault="00E24D0A" w:rsidP="006B1FF8">
            <w:pPr>
              <w:pStyle w:val="Paragrafoelenco"/>
              <w:numPr>
                <w:ilvl w:val="0"/>
                <w:numId w:val="10"/>
              </w:numPr>
              <w:spacing w:after="120"/>
              <w:jc w:val="both"/>
              <w:rPr>
                <w:rFonts w:cs="Tahoma"/>
                <w:sz w:val="16"/>
                <w:szCs w:val="16"/>
              </w:rPr>
            </w:pPr>
            <w:r w:rsidRPr="00A119D1">
              <w:rPr>
                <w:rFonts w:cs="Tahoma"/>
                <w:sz w:val="16"/>
                <w:szCs w:val="16"/>
              </w:rPr>
              <w:t xml:space="preserve">nelle more della completa attuazione del SAC la convenzione tra comuni </w:t>
            </w:r>
            <w:proofErr w:type="spellStart"/>
            <w:r w:rsidRPr="00A119D1">
              <w:rPr>
                <w:rFonts w:cs="Tahoma"/>
                <w:sz w:val="16"/>
                <w:szCs w:val="16"/>
              </w:rPr>
              <w:t>partners</w:t>
            </w:r>
            <w:proofErr w:type="spellEnd"/>
            <w:r w:rsidRPr="00A119D1">
              <w:rPr>
                <w:rFonts w:cs="Tahoma"/>
                <w:sz w:val="16"/>
                <w:szCs w:val="16"/>
              </w:rPr>
              <w:t xml:space="preserve"> avrà come oggetto l’attuazione del Piano integrato delle attività di gestione e valorizzazione del SAC per i beni appartenenti al SAC PORTA D’ORIENTE ed inseriti nella proposta approvata con determinazione del dirigente servizio Assetto del Territorio della Regione Puglia 551/2013; </w:t>
            </w:r>
          </w:p>
          <w:p w:rsidR="00E24D0A" w:rsidRPr="00A119D1" w:rsidRDefault="00E24D0A" w:rsidP="006B1FF8">
            <w:pPr>
              <w:pStyle w:val="Paragrafoelenco"/>
              <w:numPr>
                <w:ilvl w:val="0"/>
                <w:numId w:val="10"/>
              </w:numPr>
              <w:spacing w:after="120"/>
              <w:jc w:val="both"/>
              <w:rPr>
                <w:rFonts w:cs="Tahoma"/>
                <w:sz w:val="16"/>
                <w:szCs w:val="16"/>
              </w:rPr>
            </w:pPr>
            <w:r w:rsidRPr="00A119D1">
              <w:rPr>
                <w:rFonts w:cs="Tahoma"/>
                <w:sz w:val="16"/>
                <w:szCs w:val="16"/>
              </w:rPr>
              <w:t xml:space="preserve">è quindi necessario che i comuni del SAC, la provincia di Lecce e il Parco Regionale Costa Otranto  </w:t>
            </w:r>
            <w:proofErr w:type="spellStart"/>
            <w:r w:rsidRPr="00A119D1">
              <w:rPr>
                <w:rFonts w:cs="Tahoma"/>
                <w:sz w:val="16"/>
                <w:szCs w:val="16"/>
              </w:rPr>
              <w:t>S.Maria</w:t>
            </w:r>
            <w:proofErr w:type="spellEnd"/>
            <w:r w:rsidRPr="00A119D1">
              <w:rPr>
                <w:rFonts w:cs="Tahoma"/>
                <w:sz w:val="16"/>
                <w:szCs w:val="16"/>
              </w:rPr>
              <w:t xml:space="preserve"> di </w:t>
            </w:r>
            <w:proofErr w:type="spellStart"/>
            <w:r w:rsidRPr="00A119D1">
              <w:rPr>
                <w:rFonts w:cs="Tahoma"/>
                <w:sz w:val="16"/>
                <w:szCs w:val="16"/>
              </w:rPr>
              <w:t>Leuca</w:t>
            </w:r>
            <w:proofErr w:type="spellEnd"/>
            <w:r w:rsidRPr="00A119D1">
              <w:rPr>
                <w:rFonts w:cs="Tahoma"/>
                <w:sz w:val="16"/>
                <w:szCs w:val="16"/>
              </w:rPr>
              <w:t xml:space="preserve"> e Bosco di </w:t>
            </w:r>
            <w:proofErr w:type="spellStart"/>
            <w:r w:rsidRPr="00A119D1">
              <w:rPr>
                <w:rFonts w:cs="Tahoma"/>
                <w:sz w:val="16"/>
                <w:szCs w:val="16"/>
              </w:rPr>
              <w:t>Tricase</w:t>
            </w:r>
            <w:proofErr w:type="spellEnd"/>
            <w:r w:rsidRPr="00A119D1">
              <w:rPr>
                <w:rFonts w:cs="Tahoma"/>
                <w:sz w:val="16"/>
                <w:szCs w:val="16"/>
              </w:rPr>
              <w:t xml:space="preserve"> sottoscrivano una convenzione finalizzata alla erogazione di servizi di valorizzazione integrata per i beni appartenenti al SAC PORTA D’ORIENTE ed inseriti nella proposta approvata con determinazione del dirigente servizio Assetto del Territorio della Regione Puglia 551/2013. </w:t>
            </w:r>
          </w:p>
          <w:p w:rsidR="00E24D0A" w:rsidRPr="00A119D1" w:rsidRDefault="00E24D0A" w:rsidP="006B1FF8">
            <w:pPr>
              <w:rPr>
                <w:rFonts w:cs="Arial-BoldMT"/>
                <w:bCs/>
                <w:color w:val="000000"/>
                <w:sz w:val="16"/>
                <w:szCs w:val="16"/>
              </w:rPr>
            </w:pPr>
          </w:p>
          <w:p w:rsidR="00E24D0A" w:rsidRPr="00A119D1" w:rsidRDefault="00E24D0A" w:rsidP="006B1FF8">
            <w:pPr>
              <w:rPr>
                <w:rFonts w:cs="Arial-BoldMT"/>
                <w:bCs/>
                <w:color w:val="000000"/>
                <w:sz w:val="16"/>
                <w:szCs w:val="16"/>
              </w:rPr>
            </w:pPr>
            <w:r w:rsidRPr="00A119D1">
              <w:rPr>
                <w:rFonts w:cs="Arial-BoldMT"/>
                <w:bCs/>
                <w:color w:val="000000"/>
                <w:sz w:val="16"/>
                <w:szCs w:val="16"/>
              </w:rPr>
              <w:t xml:space="preserve">Udite le dichiarazioni di voto espresse dai Consiglieri Dell’Abate, </w:t>
            </w:r>
            <w:proofErr w:type="spellStart"/>
            <w:r w:rsidRPr="00A119D1">
              <w:rPr>
                <w:rFonts w:cs="Arial-BoldMT"/>
                <w:bCs/>
                <w:color w:val="000000"/>
                <w:sz w:val="16"/>
                <w:szCs w:val="16"/>
              </w:rPr>
              <w:t>Alfarano</w:t>
            </w:r>
            <w:proofErr w:type="spellEnd"/>
            <w:r w:rsidRPr="00A119D1">
              <w:rPr>
                <w:rFonts w:cs="Arial-BoldMT"/>
                <w:bCs/>
                <w:color w:val="000000"/>
                <w:sz w:val="16"/>
                <w:szCs w:val="16"/>
              </w:rPr>
              <w:t xml:space="preserve">, </w:t>
            </w:r>
            <w:proofErr w:type="spellStart"/>
            <w:r w:rsidRPr="00A119D1">
              <w:rPr>
                <w:rFonts w:cs="Arial-BoldMT"/>
                <w:bCs/>
                <w:color w:val="000000"/>
                <w:sz w:val="16"/>
                <w:szCs w:val="16"/>
              </w:rPr>
              <w:t>Fornaro</w:t>
            </w:r>
            <w:proofErr w:type="spellEnd"/>
            <w:r w:rsidRPr="00A119D1">
              <w:rPr>
                <w:rFonts w:cs="Arial-BoldMT"/>
                <w:bCs/>
                <w:color w:val="000000"/>
                <w:sz w:val="16"/>
                <w:szCs w:val="16"/>
              </w:rPr>
              <w:t>, Ardito;</w:t>
            </w:r>
          </w:p>
          <w:p w:rsidR="00E24D0A" w:rsidRPr="00A119D1" w:rsidRDefault="00E24D0A" w:rsidP="006B1FF8">
            <w:pPr>
              <w:rPr>
                <w:rFonts w:cs="Arial-BoldMT"/>
                <w:bCs/>
                <w:color w:val="000000"/>
                <w:sz w:val="16"/>
                <w:szCs w:val="16"/>
              </w:rPr>
            </w:pPr>
            <w:r w:rsidRPr="00A119D1">
              <w:rPr>
                <w:rFonts w:cs="Arial-BoldMT"/>
                <w:bCs/>
                <w:color w:val="000000"/>
                <w:sz w:val="16"/>
                <w:szCs w:val="16"/>
              </w:rPr>
              <w:t>Tutto ciò premesso e considerato;</w:t>
            </w:r>
          </w:p>
          <w:p w:rsidR="00E24D0A" w:rsidRPr="00A119D1" w:rsidRDefault="00E24D0A" w:rsidP="006B1FF8">
            <w:pPr>
              <w:rPr>
                <w:rFonts w:cs="Arial-BoldMT"/>
                <w:bCs/>
                <w:color w:val="000000"/>
                <w:sz w:val="16"/>
                <w:szCs w:val="16"/>
              </w:rPr>
            </w:pPr>
            <w:r w:rsidRPr="00A119D1">
              <w:rPr>
                <w:rFonts w:cs="Arial-BoldMT"/>
                <w:bCs/>
                <w:color w:val="000000"/>
                <w:sz w:val="16"/>
                <w:szCs w:val="16"/>
              </w:rPr>
              <w:t xml:space="preserve">Acquisiti i pareri favorevoli, ai sensi dell’art.49 del D. </w:t>
            </w:r>
            <w:proofErr w:type="spellStart"/>
            <w:r w:rsidRPr="00A119D1">
              <w:rPr>
                <w:rFonts w:cs="Arial-BoldMT"/>
                <w:bCs/>
                <w:color w:val="000000"/>
                <w:sz w:val="16"/>
                <w:szCs w:val="16"/>
              </w:rPr>
              <w:t>Lgs</w:t>
            </w:r>
            <w:proofErr w:type="spellEnd"/>
            <w:r w:rsidRPr="00A119D1">
              <w:rPr>
                <w:rFonts w:cs="Arial-BoldMT"/>
                <w:bCs/>
                <w:color w:val="000000"/>
                <w:sz w:val="16"/>
                <w:szCs w:val="16"/>
              </w:rPr>
              <w:t>. 267/2000;</w:t>
            </w:r>
          </w:p>
          <w:p w:rsidR="00E24D0A" w:rsidRPr="00A119D1" w:rsidRDefault="00E24D0A" w:rsidP="006B1FF8">
            <w:pPr>
              <w:rPr>
                <w:rFonts w:cs="Arial-BoldMT"/>
                <w:bCs/>
                <w:color w:val="000000"/>
                <w:sz w:val="16"/>
                <w:szCs w:val="16"/>
              </w:rPr>
            </w:pPr>
            <w:r w:rsidRPr="00A119D1">
              <w:rPr>
                <w:rFonts w:cs="Arial-BoldMT"/>
                <w:bCs/>
                <w:color w:val="000000"/>
                <w:sz w:val="16"/>
                <w:szCs w:val="16"/>
              </w:rPr>
              <w:t>Con voti unanimi e favorevoli, espressi in forma palese;</w:t>
            </w:r>
          </w:p>
          <w:p w:rsidR="00E24D0A" w:rsidRPr="00A119D1" w:rsidRDefault="00E24D0A" w:rsidP="006B1FF8">
            <w:pPr>
              <w:jc w:val="center"/>
              <w:rPr>
                <w:rFonts w:cs="Arial-BoldMT"/>
                <w:b/>
                <w:bCs/>
                <w:color w:val="000000"/>
                <w:sz w:val="16"/>
                <w:szCs w:val="16"/>
              </w:rPr>
            </w:pPr>
          </w:p>
          <w:p w:rsidR="00E24D0A" w:rsidRPr="00A119D1" w:rsidRDefault="00E24D0A" w:rsidP="006B1FF8">
            <w:pPr>
              <w:jc w:val="center"/>
              <w:rPr>
                <w:rFonts w:cs="Arial-BoldMT"/>
                <w:b/>
                <w:bCs/>
                <w:color w:val="000000"/>
                <w:sz w:val="16"/>
                <w:szCs w:val="16"/>
              </w:rPr>
            </w:pPr>
          </w:p>
          <w:p w:rsidR="00E24D0A" w:rsidRPr="00A119D1" w:rsidRDefault="00E24D0A" w:rsidP="006B1FF8">
            <w:pPr>
              <w:jc w:val="center"/>
              <w:rPr>
                <w:rFonts w:cs="Arial-BoldMT"/>
                <w:b/>
                <w:bCs/>
                <w:color w:val="000000"/>
                <w:sz w:val="16"/>
                <w:szCs w:val="16"/>
              </w:rPr>
            </w:pPr>
            <w:r w:rsidRPr="00A119D1">
              <w:rPr>
                <w:rFonts w:cs="Arial-BoldMT"/>
                <w:b/>
                <w:bCs/>
                <w:color w:val="000000"/>
                <w:sz w:val="16"/>
                <w:szCs w:val="16"/>
              </w:rPr>
              <w:t>DELIBERA</w:t>
            </w:r>
          </w:p>
          <w:p w:rsidR="00E24D0A" w:rsidRPr="00A119D1" w:rsidRDefault="00E24D0A" w:rsidP="006B1FF8">
            <w:pPr>
              <w:jc w:val="both"/>
              <w:rPr>
                <w:rFonts w:cs="Tahoma"/>
                <w:sz w:val="16"/>
                <w:szCs w:val="16"/>
              </w:rPr>
            </w:pPr>
            <w:r w:rsidRPr="00A119D1">
              <w:rPr>
                <w:rFonts w:cs="Arial-BoldMT"/>
                <w:b/>
                <w:bCs/>
                <w:color w:val="000000"/>
                <w:sz w:val="16"/>
                <w:szCs w:val="16"/>
              </w:rPr>
              <w:t xml:space="preserve">1) Approvare il Programma Gestionale del SAC PORTA D’ORIENTE </w:t>
            </w:r>
            <w:r w:rsidRPr="00A119D1">
              <w:rPr>
                <w:rFonts w:cs="Arial-BoldMT"/>
                <w:bCs/>
                <w:color w:val="000000"/>
                <w:sz w:val="16"/>
                <w:szCs w:val="16"/>
              </w:rPr>
              <w:t xml:space="preserve">di cui alla proposta approvata </w:t>
            </w:r>
            <w:r w:rsidRPr="00A119D1">
              <w:rPr>
                <w:rFonts w:cs="Tahoma"/>
                <w:sz w:val="16"/>
                <w:szCs w:val="16"/>
              </w:rPr>
              <w:t>con determinazione 551/2013 del servizio Assetto del Territorio della Regione Puglia, allegato alla presente per farne parte integrante e sostanziale.</w:t>
            </w:r>
          </w:p>
          <w:p w:rsidR="00E24D0A" w:rsidRPr="00A119D1" w:rsidRDefault="00E24D0A" w:rsidP="006B1FF8">
            <w:pPr>
              <w:autoSpaceDE w:val="0"/>
              <w:autoSpaceDN w:val="0"/>
              <w:adjustRightInd w:val="0"/>
              <w:jc w:val="both"/>
              <w:rPr>
                <w:rFonts w:cs="Tahoma"/>
                <w:sz w:val="16"/>
                <w:szCs w:val="16"/>
              </w:rPr>
            </w:pPr>
            <w:r w:rsidRPr="00A119D1">
              <w:rPr>
                <w:rFonts w:cs="Tahoma"/>
                <w:b/>
                <w:sz w:val="16"/>
                <w:szCs w:val="16"/>
              </w:rPr>
              <w:t>2) Approvare la convenzione</w:t>
            </w:r>
            <w:r w:rsidRPr="00A119D1">
              <w:rPr>
                <w:rFonts w:cs="Tahoma"/>
                <w:sz w:val="16"/>
                <w:szCs w:val="16"/>
              </w:rPr>
              <w:t xml:space="preserve"> per l’attuazione</w:t>
            </w:r>
            <w:r w:rsidRPr="00A119D1">
              <w:rPr>
                <w:rFonts w:cs="Tahoma"/>
                <w:b/>
                <w:sz w:val="16"/>
                <w:szCs w:val="16"/>
              </w:rPr>
              <w:t xml:space="preserve"> del </w:t>
            </w:r>
            <w:r w:rsidRPr="00A119D1">
              <w:rPr>
                <w:rFonts w:cs="Tahoma"/>
                <w:b/>
                <w:sz w:val="16"/>
                <w:szCs w:val="16"/>
              </w:rPr>
              <w:lastRenderedPageBreak/>
              <w:t>Piano integrato delle attività di gestione e valorizzazione del SAC</w:t>
            </w:r>
            <w:r w:rsidRPr="00A119D1">
              <w:rPr>
                <w:rFonts w:cs="Tahoma"/>
                <w:sz w:val="16"/>
                <w:szCs w:val="16"/>
              </w:rPr>
              <w:t xml:space="preserve">, allegata alla presente per farne parte integrante e sostanziale, tra i comuni </w:t>
            </w:r>
            <w:proofErr w:type="spellStart"/>
            <w:r w:rsidRPr="00A119D1">
              <w:rPr>
                <w:rFonts w:cs="Tahoma"/>
                <w:sz w:val="16"/>
                <w:szCs w:val="16"/>
              </w:rPr>
              <w:t>partners</w:t>
            </w:r>
            <w:proofErr w:type="spellEnd"/>
            <w:r w:rsidRPr="00A119D1">
              <w:rPr>
                <w:rFonts w:cs="Tahoma"/>
                <w:sz w:val="16"/>
                <w:szCs w:val="16"/>
              </w:rPr>
              <w:t xml:space="preserve"> di ALESSANO, ANDRANO, CASTRIGNANO DEL CAPO, CASTRO, CORSANO, DISO, GAGLIANO DEL CAPO, ORTELLE, OTRANTO, SANTA CESAREA TERME, TIGGIANO, TRICASE, GIURDIGNANO, MURO LECCESE, UGGIANO LA CHIESA, CANNOLE, BAGNOLO DEL SALENTO, PALMARIGGI, GIUGGIANELLO, SALVE, MORCIANO </w:t>
            </w:r>
            <w:proofErr w:type="spellStart"/>
            <w:r w:rsidRPr="00A119D1">
              <w:rPr>
                <w:rFonts w:cs="Tahoma"/>
                <w:sz w:val="16"/>
                <w:szCs w:val="16"/>
              </w:rPr>
              <w:t>DI</w:t>
            </w:r>
            <w:proofErr w:type="spellEnd"/>
            <w:r w:rsidRPr="00A119D1">
              <w:rPr>
                <w:rFonts w:cs="Tahoma"/>
                <w:sz w:val="16"/>
                <w:szCs w:val="16"/>
              </w:rPr>
              <w:t xml:space="preserve"> LEUCA, PATÙ, IL PARCO NATURALE REGIONALE “COSTA OTRANTO SANTA MARIA </w:t>
            </w:r>
            <w:proofErr w:type="spellStart"/>
            <w:r w:rsidRPr="00A119D1">
              <w:rPr>
                <w:rFonts w:cs="Tahoma"/>
                <w:sz w:val="16"/>
                <w:szCs w:val="16"/>
              </w:rPr>
              <w:t>DI</w:t>
            </w:r>
            <w:proofErr w:type="spellEnd"/>
            <w:r w:rsidRPr="00A119D1">
              <w:rPr>
                <w:rFonts w:cs="Tahoma"/>
                <w:sz w:val="16"/>
                <w:szCs w:val="16"/>
              </w:rPr>
              <w:t xml:space="preserve"> LEUCA – BOSCO </w:t>
            </w:r>
            <w:proofErr w:type="spellStart"/>
            <w:r w:rsidRPr="00A119D1">
              <w:rPr>
                <w:rFonts w:cs="Tahoma"/>
                <w:sz w:val="16"/>
                <w:szCs w:val="16"/>
              </w:rPr>
              <w:t>DI</w:t>
            </w:r>
            <w:proofErr w:type="spellEnd"/>
            <w:r w:rsidRPr="00A119D1">
              <w:rPr>
                <w:rFonts w:cs="Tahoma"/>
                <w:sz w:val="16"/>
                <w:szCs w:val="16"/>
              </w:rPr>
              <w:t xml:space="preserve"> TRICASE, L’AMMINISTRAZIONE PROVINCIALE </w:t>
            </w:r>
            <w:proofErr w:type="spellStart"/>
            <w:r w:rsidRPr="00A119D1">
              <w:rPr>
                <w:rFonts w:cs="Tahoma"/>
                <w:sz w:val="16"/>
                <w:szCs w:val="16"/>
              </w:rPr>
              <w:t>DI</w:t>
            </w:r>
            <w:proofErr w:type="spellEnd"/>
            <w:r w:rsidRPr="00A119D1">
              <w:rPr>
                <w:rFonts w:cs="Tahoma"/>
                <w:sz w:val="16"/>
                <w:szCs w:val="16"/>
              </w:rPr>
              <w:t xml:space="preserve"> LECCE.</w:t>
            </w:r>
          </w:p>
          <w:p w:rsidR="00E24D0A" w:rsidRPr="00A119D1" w:rsidRDefault="00E24D0A" w:rsidP="006B1FF8">
            <w:pPr>
              <w:autoSpaceDE w:val="0"/>
              <w:autoSpaceDN w:val="0"/>
              <w:adjustRightInd w:val="0"/>
              <w:jc w:val="both"/>
              <w:rPr>
                <w:rFonts w:cs="Tahoma"/>
                <w:sz w:val="16"/>
                <w:szCs w:val="16"/>
              </w:rPr>
            </w:pP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 xml:space="preserve">3) </w:t>
            </w:r>
            <w:r w:rsidRPr="00A119D1">
              <w:rPr>
                <w:rFonts w:cs="Tahoma"/>
                <w:b/>
                <w:sz w:val="16"/>
                <w:szCs w:val="16"/>
              </w:rPr>
              <w:t>Delegare il Sindaco</w:t>
            </w:r>
            <w:r w:rsidRPr="00A119D1">
              <w:rPr>
                <w:rFonts w:cs="Tahoma"/>
                <w:sz w:val="16"/>
                <w:szCs w:val="16"/>
              </w:rPr>
              <w:t xml:space="preserve"> – Ing. Antonio G. Coppola, legale rappresentante del Comune di </w:t>
            </w:r>
            <w:proofErr w:type="spellStart"/>
            <w:r w:rsidRPr="00A119D1">
              <w:rPr>
                <w:rFonts w:cs="Tahoma"/>
                <w:sz w:val="16"/>
                <w:szCs w:val="16"/>
              </w:rPr>
              <w:t>Tricase</w:t>
            </w:r>
            <w:proofErr w:type="spellEnd"/>
            <w:r w:rsidRPr="00A119D1">
              <w:rPr>
                <w:rFonts w:cs="Tahoma"/>
                <w:sz w:val="16"/>
                <w:szCs w:val="16"/>
              </w:rPr>
              <w:t xml:space="preserve"> -  alla firma della presente convenzione. </w:t>
            </w:r>
          </w:p>
          <w:p w:rsidR="00E24D0A" w:rsidRPr="00A119D1" w:rsidRDefault="00E24D0A" w:rsidP="006B1FF8">
            <w:pPr>
              <w:autoSpaceDE w:val="0"/>
              <w:autoSpaceDN w:val="0"/>
              <w:adjustRightInd w:val="0"/>
              <w:jc w:val="both"/>
              <w:rPr>
                <w:rFonts w:cs="Tahoma"/>
                <w:sz w:val="16"/>
                <w:szCs w:val="16"/>
              </w:rPr>
            </w:pPr>
          </w:p>
          <w:p w:rsidR="00E24D0A" w:rsidRPr="00A119D1" w:rsidRDefault="00E24D0A" w:rsidP="006B1FF8">
            <w:pPr>
              <w:autoSpaceDE w:val="0"/>
              <w:autoSpaceDN w:val="0"/>
              <w:adjustRightInd w:val="0"/>
              <w:jc w:val="both"/>
              <w:rPr>
                <w:rFonts w:cs="Tahoma"/>
                <w:sz w:val="16"/>
                <w:szCs w:val="16"/>
              </w:rPr>
            </w:pPr>
          </w:p>
          <w:p w:rsidR="00E24D0A" w:rsidRPr="00A119D1" w:rsidRDefault="00E24D0A" w:rsidP="006B1FF8">
            <w:pPr>
              <w:autoSpaceDE w:val="0"/>
              <w:autoSpaceDN w:val="0"/>
              <w:adjustRightInd w:val="0"/>
              <w:jc w:val="both"/>
              <w:rPr>
                <w:rFonts w:cs="Tahoma"/>
                <w:sz w:val="16"/>
                <w:szCs w:val="16"/>
              </w:rPr>
            </w:pPr>
            <w:r w:rsidRPr="00A119D1">
              <w:rPr>
                <w:rFonts w:cs="Tahoma"/>
                <w:sz w:val="16"/>
                <w:szCs w:val="16"/>
              </w:rPr>
              <w:t>Con separata, unanime votazione la presente deliberazione viene dichiarata immediatamente esecutiva ai sensi dell'art.134, comma 4, del D.L.vo n.267/2000.</w:t>
            </w:r>
          </w:p>
          <w:p w:rsidR="00E24D0A" w:rsidRPr="00A119D1" w:rsidRDefault="00E24D0A" w:rsidP="006B1FF8">
            <w:pPr>
              <w:jc w:val="both"/>
              <w:rPr>
                <w:rFonts w:cs="Tahoma"/>
                <w:sz w:val="16"/>
                <w:szCs w:val="16"/>
              </w:rPr>
            </w:pPr>
          </w:p>
          <w:p w:rsidR="00E24D0A" w:rsidRPr="00A119D1" w:rsidRDefault="00E24D0A" w:rsidP="006B1FF8">
            <w:pPr>
              <w:jc w:val="center"/>
              <w:rPr>
                <w:sz w:val="16"/>
                <w:szCs w:val="16"/>
              </w:rPr>
            </w:pPr>
          </w:p>
          <w:p w:rsidR="00E24D0A" w:rsidRPr="00A119D1" w:rsidRDefault="00E24D0A" w:rsidP="006B1FF8">
            <w:pPr>
              <w:rPr>
                <w:sz w:val="16"/>
                <w:szCs w:val="16"/>
              </w:rPr>
            </w:pPr>
          </w:p>
          <w:p w:rsidR="00E24D0A" w:rsidRPr="00A119D1" w:rsidRDefault="00E24D0A" w:rsidP="006B1FF8">
            <w:pPr>
              <w:rPr>
                <w:b/>
                <w:sz w:val="16"/>
                <w:szCs w:val="16"/>
              </w:rPr>
            </w:pPr>
          </w:p>
        </w:tc>
        <w:tc>
          <w:tcPr>
            <w:tcW w:w="1719" w:type="dxa"/>
          </w:tcPr>
          <w:p w:rsidR="00E24D0A" w:rsidRPr="0085031C" w:rsidRDefault="00E24D0A" w:rsidP="006B1FF8">
            <w:pPr>
              <w:rPr>
                <w:b/>
                <w:sz w:val="16"/>
                <w:szCs w:val="16"/>
              </w:rPr>
            </w:pPr>
          </w:p>
        </w:tc>
        <w:tc>
          <w:tcPr>
            <w:tcW w:w="1884" w:type="dxa"/>
          </w:tcPr>
          <w:p w:rsidR="00E24D0A" w:rsidRPr="0085031C" w:rsidRDefault="00E24D0A" w:rsidP="006B1FF8">
            <w:pPr>
              <w:rPr>
                <w:b/>
                <w:sz w:val="16"/>
                <w:szCs w:val="16"/>
              </w:rPr>
            </w:pPr>
          </w:p>
        </w:tc>
      </w:tr>
      <w:tr w:rsidR="00E24D0A" w:rsidRPr="0085031C" w:rsidTr="006B1FF8">
        <w:tc>
          <w:tcPr>
            <w:tcW w:w="1826" w:type="dxa"/>
          </w:tcPr>
          <w:p w:rsidR="00E24D0A" w:rsidRDefault="00E24D0A" w:rsidP="006B1FF8">
            <w:pPr>
              <w:rPr>
                <w:b/>
                <w:sz w:val="16"/>
                <w:szCs w:val="16"/>
              </w:rPr>
            </w:pPr>
            <w:r>
              <w:rPr>
                <w:b/>
                <w:sz w:val="16"/>
                <w:szCs w:val="16"/>
              </w:rPr>
              <w:lastRenderedPageBreak/>
              <w:t>Consiglio Comunale</w:t>
            </w:r>
          </w:p>
        </w:tc>
        <w:tc>
          <w:tcPr>
            <w:tcW w:w="1737" w:type="dxa"/>
          </w:tcPr>
          <w:p w:rsidR="00E24D0A" w:rsidRPr="0085031C" w:rsidRDefault="00E24D0A" w:rsidP="006B1FF8">
            <w:pPr>
              <w:rPr>
                <w:b/>
                <w:sz w:val="16"/>
                <w:szCs w:val="16"/>
              </w:rPr>
            </w:pPr>
            <w:r>
              <w:rPr>
                <w:b/>
                <w:sz w:val="16"/>
                <w:szCs w:val="16"/>
              </w:rPr>
              <w:t>Delibera</w:t>
            </w:r>
          </w:p>
        </w:tc>
        <w:tc>
          <w:tcPr>
            <w:tcW w:w="1722" w:type="dxa"/>
          </w:tcPr>
          <w:p w:rsidR="00E24D0A" w:rsidRPr="00B32A39" w:rsidRDefault="00E24D0A" w:rsidP="006B1FF8">
            <w:pPr>
              <w:rPr>
                <w:b/>
                <w:sz w:val="16"/>
                <w:szCs w:val="16"/>
              </w:rPr>
            </w:pPr>
            <w:r w:rsidRPr="00B32A39">
              <w:rPr>
                <w:b/>
                <w:sz w:val="16"/>
                <w:szCs w:val="16"/>
              </w:rPr>
              <w:t>n.22 del 27.5.2014</w:t>
            </w:r>
          </w:p>
        </w:tc>
        <w:tc>
          <w:tcPr>
            <w:tcW w:w="1919" w:type="dxa"/>
          </w:tcPr>
          <w:p w:rsidR="00E24D0A" w:rsidRPr="00B32A39" w:rsidRDefault="00E24D0A" w:rsidP="006B1FF8">
            <w:pPr>
              <w:rPr>
                <w:b/>
                <w:sz w:val="16"/>
                <w:szCs w:val="16"/>
              </w:rPr>
            </w:pPr>
            <w:r w:rsidRPr="00B32A39">
              <w:rPr>
                <w:b/>
                <w:sz w:val="16"/>
                <w:szCs w:val="16"/>
              </w:rPr>
              <w:t xml:space="preserve">CONVENZIONE TRA IL COMUNE </w:t>
            </w:r>
            <w:proofErr w:type="spellStart"/>
            <w:r w:rsidRPr="00B32A39">
              <w:rPr>
                <w:b/>
                <w:sz w:val="16"/>
                <w:szCs w:val="16"/>
              </w:rPr>
              <w:t>DI</w:t>
            </w:r>
            <w:proofErr w:type="spellEnd"/>
            <w:r w:rsidRPr="00B32A39">
              <w:rPr>
                <w:b/>
                <w:sz w:val="16"/>
                <w:szCs w:val="16"/>
              </w:rPr>
              <w:t xml:space="preserve"> TRICASE E IL CIHEAM - IAMB BARI PER LA REALIZZAZIONE E IMPLEMANTAZIONE </w:t>
            </w:r>
            <w:proofErr w:type="spellStart"/>
            <w:r w:rsidRPr="00B32A39">
              <w:rPr>
                <w:b/>
                <w:sz w:val="16"/>
                <w:szCs w:val="16"/>
              </w:rPr>
              <w:t>DI</w:t>
            </w:r>
            <w:proofErr w:type="spellEnd"/>
            <w:r w:rsidRPr="00B32A39">
              <w:rPr>
                <w:b/>
                <w:sz w:val="16"/>
                <w:szCs w:val="16"/>
              </w:rPr>
              <w:t xml:space="preserve"> UN LABORATORIO PER IL MONITORAGGIO DELLA BIODIVERSITA' MARINA E COSTIERA IN TRICASE PORTO</w:t>
            </w:r>
          </w:p>
        </w:tc>
        <w:tc>
          <w:tcPr>
            <w:tcW w:w="3696" w:type="dxa"/>
          </w:tcPr>
          <w:p w:rsidR="00E24D0A" w:rsidRPr="00B32A39" w:rsidRDefault="00E24D0A" w:rsidP="006B1FF8">
            <w:pPr>
              <w:tabs>
                <w:tab w:val="left" w:pos="9214"/>
                <w:tab w:val="left" w:pos="9498"/>
              </w:tabs>
              <w:ind w:right="-142"/>
              <w:rPr>
                <w:sz w:val="16"/>
                <w:szCs w:val="16"/>
              </w:rPr>
            </w:pPr>
            <w:r w:rsidRPr="00B32A39">
              <w:rPr>
                <w:sz w:val="16"/>
                <w:szCs w:val="16"/>
              </w:rPr>
              <w:t>Il Presidente invita a passare alla discussione sul punto.</w:t>
            </w:r>
          </w:p>
          <w:p w:rsidR="00E24D0A" w:rsidRPr="00B32A39" w:rsidRDefault="00E24D0A" w:rsidP="006B1FF8">
            <w:pPr>
              <w:tabs>
                <w:tab w:val="left" w:pos="9214"/>
                <w:tab w:val="left" w:pos="9498"/>
              </w:tabs>
              <w:ind w:right="-142"/>
              <w:rPr>
                <w:sz w:val="16"/>
                <w:szCs w:val="16"/>
              </w:rPr>
            </w:pPr>
          </w:p>
          <w:p w:rsidR="00E24D0A" w:rsidRPr="00B32A39" w:rsidRDefault="00E24D0A" w:rsidP="006B1FF8">
            <w:pPr>
              <w:tabs>
                <w:tab w:val="left" w:pos="9214"/>
                <w:tab w:val="left" w:pos="9498"/>
              </w:tabs>
              <w:ind w:right="-142"/>
              <w:rPr>
                <w:sz w:val="16"/>
                <w:szCs w:val="16"/>
              </w:rPr>
            </w:pPr>
            <w:r w:rsidRPr="00B32A39">
              <w:rPr>
                <w:sz w:val="16"/>
                <w:szCs w:val="16"/>
              </w:rPr>
              <w:t>Intervengono i Consiglieri come da trascrizione integrale allegata alla presente.</w:t>
            </w:r>
          </w:p>
          <w:p w:rsidR="00E24D0A" w:rsidRPr="00B32A39" w:rsidRDefault="00E24D0A" w:rsidP="006B1FF8">
            <w:pPr>
              <w:tabs>
                <w:tab w:val="left" w:pos="9214"/>
                <w:tab w:val="left" w:pos="9498"/>
              </w:tabs>
              <w:ind w:right="-142"/>
              <w:rPr>
                <w:sz w:val="16"/>
                <w:szCs w:val="16"/>
              </w:rPr>
            </w:pPr>
          </w:p>
          <w:p w:rsidR="00E24D0A" w:rsidRPr="00B32A39" w:rsidRDefault="00E24D0A" w:rsidP="006B1FF8">
            <w:pPr>
              <w:tabs>
                <w:tab w:val="left" w:pos="9214"/>
                <w:tab w:val="left" w:pos="9498"/>
              </w:tabs>
              <w:ind w:right="-142"/>
              <w:rPr>
                <w:sz w:val="16"/>
                <w:szCs w:val="16"/>
              </w:rPr>
            </w:pPr>
            <w:r w:rsidRPr="00B32A39">
              <w:rPr>
                <w:sz w:val="16"/>
                <w:szCs w:val="16"/>
              </w:rPr>
              <w:t>Al termine della discussione si passa alla votazione che da il seguente risultato:</w:t>
            </w:r>
          </w:p>
          <w:p w:rsidR="00E24D0A" w:rsidRPr="00B32A39" w:rsidRDefault="00E24D0A" w:rsidP="006B1FF8">
            <w:pPr>
              <w:pStyle w:val="Corpodeltesto"/>
              <w:rPr>
                <w:rFonts w:asciiTheme="minorHAnsi" w:hAnsiTheme="minorHAnsi"/>
                <w:sz w:val="16"/>
                <w:szCs w:val="16"/>
              </w:rPr>
            </w:pPr>
            <w:r w:rsidRPr="00B32A39">
              <w:rPr>
                <w:rFonts w:asciiTheme="minorHAnsi" w:hAnsiTheme="minorHAnsi"/>
                <w:sz w:val="16"/>
                <w:szCs w:val="16"/>
              </w:rPr>
              <w:t xml:space="preserve">PRESENTI: </w:t>
            </w:r>
            <w:r w:rsidRPr="00B32A39">
              <w:rPr>
                <w:rFonts w:asciiTheme="minorHAnsi" w:hAnsiTheme="minorHAnsi"/>
                <w:sz w:val="16"/>
                <w:szCs w:val="16"/>
              </w:rPr>
              <w:tab/>
            </w:r>
            <w:r w:rsidRPr="00B32A39">
              <w:rPr>
                <w:rFonts w:asciiTheme="minorHAnsi" w:hAnsiTheme="minorHAnsi"/>
                <w:sz w:val="16"/>
                <w:szCs w:val="16"/>
              </w:rPr>
              <w:tab/>
            </w:r>
            <w:r w:rsidRPr="00B32A39">
              <w:rPr>
                <w:rFonts w:asciiTheme="minorHAnsi" w:hAnsiTheme="minorHAnsi"/>
                <w:sz w:val="16"/>
                <w:szCs w:val="16"/>
              </w:rPr>
              <w:tab/>
              <w:t>17 (diciassette)</w:t>
            </w:r>
          </w:p>
          <w:p w:rsidR="00E24D0A" w:rsidRPr="00B32A39" w:rsidRDefault="00E24D0A" w:rsidP="006B1FF8">
            <w:pPr>
              <w:pStyle w:val="Corpodeltesto"/>
              <w:rPr>
                <w:rFonts w:asciiTheme="minorHAnsi" w:hAnsiTheme="minorHAnsi"/>
                <w:sz w:val="16"/>
                <w:szCs w:val="16"/>
              </w:rPr>
            </w:pPr>
            <w:r w:rsidRPr="00B32A39">
              <w:rPr>
                <w:rFonts w:asciiTheme="minorHAnsi" w:hAnsiTheme="minorHAnsi"/>
                <w:sz w:val="16"/>
                <w:szCs w:val="16"/>
              </w:rPr>
              <w:t xml:space="preserve">VOTANTI: </w:t>
            </w:r>
            <w:r w:rsidRPr="00B32A39">
              <w:rPr>
                <w:rFonts w:asciiTheme="minorHAnsi" w:hAnsiTheme="minorHAnsi"/>
                <w:sz w:val="16"/>
                <w:szCs w:val="16"/>
              </w:rPr>
              <w:tab/>
            </w:r>
            <w:r w:rsidRPr="00B32A39">
              <w:rPr>
                <w:rFonts w:asciiTheme="minorHAnsi" w:hAnsiTheme="minorHAnsi"/>
                <w:sz w:val="16"/>
                <w:szCs w:val="16"/>
              </w:rPr>
              <w:tab/>
            </w:r>
            <w:r w:rsidRPr="00B32A39">
              <w:rPr>
                <w:rFonts w:asciiTheme="minorHAnsi" w:hAnsiTheme="minorHAnsi"/>
                <w:sz w:val="16"/>
                <w:szCs w:val="16"/>
              </w:rPr>
              <w:tab/>
              <w:t>17 (diciassette)</w:t>
            </w:r>
          </w:p>
          <w:p w:rsidR="00E24D0A" w:rsidRPr="00B32A39" w:rsidRDefault="00E24D0A" w:rsidP="006B1FF8">
            <w:pPr>
              <w:pStyle w:val="Corpodeltesto"/>
              <w:rPr>
                <w:rFonts w:asciiTheme="minorHAnsi" w:hAnsiTheme="minorHAnsi"/>
                <w:sz w:val="16"/>
                <w:szCs w:val="16"/>
              </w:rPr>
            </w:pPr>
            <w:r w:rsidRPr="00B32A39">
              <w:rPr>
                <w:rFonts w:asciiTheme="minorHAnsi" w:hAnsiTheme="minorHAnsi"/>
                <w:sz w:val="16"/>
                <w:szCs w:val="16"/>
              </w:rPr>
              <w:t>ASTENUTI:</w:t>
            </w:r>
            <w:r w:rsidRPr="00B32A39">
              <w:rPr>
                <w:rFonts w:asciiTheme="minorHAnsi" w:hAnsiTheme="minorHAnsi"/>
                <w:sz w:val="16"/>
                <w:szCs w:val="16"/>
              </w:rPr>
              <w:tab/>
            </w:r>
            <w:r w:rsidRPr="00B32A39">
              <w:rPr>
                <w:rFonts w:asciiTheme="minorHAnsi" w:hAnsiTheme="minorHAnsi"/>
                <w:sz w:val="16"/>
                <w:szCs w:val="16"/>
              </w:rPr>
              <w:tab/>
            </w:r>
            <w:r w:rsidRPr="00B32A39">
              <w:rPr>
                <w:rFonts w:asciiTheme="minorHAnsi" w:hAnsiTheme="minorHAnsi"/>
                <w:sz w:val="16"/>
                <w:szCs w:val="16"/>
              </w:rPr>
              <w:tab/>
              <w:t>nessuno</w:t>
            </w:r>
          </w:p>
          <w:p w:rsidR="00E24D0A" w:rsidRPr="00B32A39" w:rsidRDefault="00E24D0A" w:rsidP="006B1FF8">
            <w:pPr>
              <w:pStyle w:val="Corpodeltesto"/>
              <w:rPr>
                <w:rFonts w:asciiTheme="minorHAnsi" w:hAnsiTheme="minorHAnsi"/>
                <w:sz w:val="16"/>
                <w:szCs w:val="16"/>
              </w:rPr>
            </w:pPr>
            <w:r w:rsidRPr="00B32A39">
              <w:rPr>
                <w:rFonts w:asciiTheme="minorHAnsi" w:hAnsiTheme="minorHAnsi"/>
                <w:sz w:val="16"/>
                <w:szCs w:val="16"/>
              </w:rPr>
              <w:t xml:space="preserve">VOTI FAVOREVOLI </w:t>
            </w:r>
            <w:r w:rsidRPr="00B32A39">
              <w:rPr>
                <w:rFonts w:asciiTheme="minorHAnsi" w:hAnsiTheme="minorHAnsi"/>
                <w:sz w:val="16"/>
                <w:szCs w:val="16"/>
              </w:rPr>
              <w:tab/>
              <w:t>17 (diciassette)</w:t>
            </w:r>
          </w:p>
          <w:p w:rsidR="00E24D0A" w:rsidRPr="00B32A39" w:rsidRDefault="00E24D0A" w:rsidP="006B1FF8">
            <w:pPr>
              <w:pStyle w:val="Corpodeltesto"/>
              <w:rPr>
                <w:rFonts w:asciiTheme="minorHAnsi" w:hAnsiTheme="minorHAnsi"/>
                <w:sz w:val="16"/>
                <w:szCs w:val="16"/>
              </w:rPr>
            </w:pPr>
            <w:r w:rsidRPr="00B32A39">
              <w:rPr>
                <w:rFonts w:asciiTheme="minorHAnsi" w:hAnsiTheme="minorHAnsi"/>
                <w:sz w:val="16"/>
                <w:szCs w:val="16"/>
              </w:rPr>
              <w:t xml:space="preserve">VOTI CONTRARI </w:t>
            </w:r>
            <w:r w:rsidRPr="00B32A39">
              <w:rPr>
                <w:rFonts w:asciiTheme="minorHAnsi" w:hAnsiTheme="minorHAnsi"/>
                <w:sz w:val="16"/>
                <w:szCs w:val="16"/>
              </w:rPr>
              <w:tab/>
            </w:r>
            <w:r w:rsidRPr="00B32A39">
              <w:rPr>
                <w:rFonts w:asciiTheme="minorHAnsi" w:hAnsiTheme="minorHAnsi"/>
                <w:sz w:val="16"/>
                <w:szCs w:val="16"/>
              </w:rPr>
              <w:tab/>
              <w:t>nessuno</w:t>
            </w:r>
          </w:p>
          <w:p w:rsidR="00E24D0A" w:rsidRPr="00B32A39" w:rsidRDefault="00E24D0A" w:rsidP="006B1FF8">
            <w:pPr>
              <w:tabs>
                <w:tab w:val="left" w:pos="9214"/>
                <w:tab w:val="left" w:pos="9498"/>
              </w:tabs>
              <w:ind w:right="-142"/>
              <w:rPr>
                <w:sz w:val="16"/>
                <w:szCs w:val="16"/>
              </w:rPr>
            </w:pPr>
          </w:p>
          <w:p w:rsidR="00E24D0A" w:rsidRPr="00B32A39" w:rsidRDefault="00E24D0A" w:rsidP="006B1FF8">
            <w:pPr>
              <w:jc w:val="center"/>
              <w:rPr>
                <w:b/>
                <w:sz w:val="16"/>
                <w:szCs w:val="16"/>
              </w:rPr>
            </w:pPr>
            <w:r w:rsidRPr="00B32A39">
              <w:rPr>
                <w:b/>
                <w:sz w:val="16"/>
                <w:szCs w:val="16"/>
              </w:rPr>
              <w:t>IL CONSIGLIO COMUNALE</w:t>
            </w:r>
          </w:p>
          <w:p w:rsidR="00E24D0A" w:rsidRPr="00B32A39" w:rsidRDefault="00E24D0A" w:rsidP="006B1FF8">
            <w:pPr>
              <w:tabs>
                <w:tab w:val="left" w:pos="9214"/>
                <w:tab w:val="left" w:pos="9498"/>
              </w:tabs>
              <w:ind w:right="-142"/>
              <w:rPr>
                <w:sz w:val="16"/>
                <w:szCs w:val="16"/>
              </w:rPr>
            </w:pPr>
          </w:p>
          <w:p w:rsidR="00E24D0A" w:rsidRPr="00B32A39" w:rsidRDefault="00E24D0A" w:rsidP="006B1FF8">
            <w:pPr>
              <w:tabs>
                <w:tab w:val="left" w:pos="9214"/>
                <w:tab w:val="left" w:pos="9498"/>
              </w:tabs>
              <w:ind w:right="-142"/>
              <w:rPr>
                <w:b/>
                <w:sz w:val="16"/>
                <w:szCs w:val="16"/>
              </w:rPr>
            </w:pPr>
            <w:r w:rsidRPr="00B32A39">
              <w:rPr>
                <w:b/>
                <w:sz w:val="16"/>
                <w:szCs w:val="16"/>
              </w:rPr>
              <w:t>PREMESSO:</w:t>
            </w:r>
          </w:p>
          <w:p w:rsidR="00E24D0A" w:rsidRPr="00B32A39" w:rsidRDefault="00E24D0A" w:rsidP="006B1FF8">
            <w:pPr>
              <w:tabs>
                <w:tab w:val="left" w:pos="9214"/>
                <w:tab w:val="left" w:pos="9498"/>
              </w:tabs>
              <w:ind w:right="-142"/>
              <w:jc w:val="both"/>
              <w:rPr>
                <w:sz w:val="16"/>
                <w:szCs w:val="16"/>
              </w:rPr>
            </w:pPr>
            <w:r w:rsidRPr="00B32A39">
              <w:rPr>
                <w:sz w:val="16"/>
                <w:szCs w:val="16"/>
              </w:rPr>
              <w:t xml:space="preserve">Che il CIHEAM-IAMB, in funzione della propria natura di Organizzazione internazionale intergovernativa, opera in stretta collaborazione con Organizzazioni Internazionali e Nazionali (Commissione Europea, Ministero degli Affari Esteri, Ministero dell’Ambiente e Ministero del Lavoro della Repubblica Italiana, Agenzie </w:t>
            </w:r>
            <w:r w:rsidRPr="00B32A39">
              <w:rPr>
                <w:sz w:val="16"/>
                <w:szCs w:val="16"/>
              </w:rPr>
              <w:lastRenderedPageBreak/>
              <w:t>delle Nazioni Unite: FAO, UNDP, UNIDO, ecc.), Paesi europei donatori, Istituzioni di paesi dell’area sud del Mediterraneo e dei Balcani, per promuovere la cooperazione internazionale in agricoltura e lo sviluppo rurale, costiero e marino nelle regioni del Mediterraneo attraverso programmi di cooperazione internazionale; promuove la formazione e la ricerca scientifica applicata, prevalentemente nei temi della gestione delle risorse idriche, dello sviluppo sostenibile delle aree rurali, costieri e marini dell’agricoltura biologica mediterranea e della pesca e della salvaguardia della biodiversità;</w:t>
            </w:r>
          </w:p>
          <w:p w:rsidR="00E24D0A" w:rsidRPr="00B32A39" w:rsidRDefault="00E24D0A" w:rsidP="006B1FF8">
            <w:pPr>
              <w:tabs>
                <w:tab w:val="left" w:pos="9214"/>
                <w:tab w:val="left" w:pos="9498"/>
              </w:tabs>
              <w:ind w:right="-142"/>
              <w:jc w:val="both"/>
              <w:rPr>
                <w:sz w:val="16"/>
                <w:szCs w:val="16"/>
              </w:rPr>
            </w:pPr>
            <w:r w:rsidRPr="00B32A39">
              <w:rPr>
                <w:sz w:val="16"/>
                <w:szCs w:val="16"/>
              </w:rPr>
              <w:t xml:space="preserve">che il Comune di </w:t>
            </w:r>
            <w:proofErr w:type="spellStart"/>
            <w:r w:rsidRPr="00B32A39">
              <w:rPr>
                <w:sz w:val="16"/>
                <w:szCs w:val="16"/>
              </w:rPr>
              <w:t>Tricase</w:t>
            </w:r>
            <w:proofErr w:type="spellEnd"/>
            <w:r w:rsidRPr="00B32A39">
              <w:rPr>
                <w:sz w:val="16"/>
                <w:szCs w:val="16"/>
              </w:rPr>
              <w:t xml:space="preserve"> opera con l’intento di promuovere e sviluppare iniziative mirate a sostenere e favorire una strategia di sviluppo locale che integri strumenti di intervento e settori produttivi (sviluppo rurale e costiero, agricoltura e pesca sostenibile), per la valorizzazione dei territori rurali e costieri, lo sviluppo sociale, economico e ambientale, in collaborazione con Associazioni, Organizzazioni ed Enti Istituzionali e di ricerca e, nello specifico, attraverso il rafforzamento delle collaborazioni già attive con il Parco naturale regionale Costa Otranto - Santa Maria di </w:t>
            </w:r>
            <w:proofErr w:type="spellStart"/>
            <w:r w:rsidRPr="00B32A39">
              <w:rPr>
                <w:sz w:val="16"/>
                <w:szCs w:val="16"/>
              </w:rPr>
              <w:t>Leuca</w:t>
            </w:r>
            <w:proofErr w:type="spellEnd"/>
            <w:r w:rsidRPr="00B32A39">
              <w:rPr>
                <w:sz w:val="16"/>
                <w:szCs w:val="16"/>
              </w:rPr>
              <w:t xml:space="preserve"> e Bosco di </w:t>
            </w:r>
            <w:proofErr w:type="spellStart"/>
            <w:r w:rsidRPr="00B32A39">
              <w:rPr>
                <w:sz w:val="16"/>
                <w:szCs w:val="16"/>
              </w:rPr>
              <w:t>Tricase</w:t>
            </w:r>
            <w:proofErr w:type="spellEnd"/>
            <w:r w:rsidRPr="00B32A39">
              <w:rPr>
                <w:sz w:val="16"/>
                <w:szCs w:val="16"/>
              </w:rPr>
              <w:t xml:space="preserve">,  l’Associazione Magna Grecia Mare – </w:t>
            </w:r>
            <w:proofErr w:type="spellStart"/>
            <w:r w:rsidRPr="00B32A39">
              <w:rPr>
                <w:sz w:val="16"/>
                <w:szCs w:val="16"/>
              </w:rPr>
              <w:t>Portus</w:t>
            </w:r>
            <w:proofErr w:type="spellEnd"/>
            <w:r w:rsidRPr="00B32A39">
              <w:rPr>
                <w:sz w:val="16"/>
                <w:szCs w:val="16"/>
              </w:rPr>
              <w:t xml:space="preserve"> </w:t>
            </w:r>
            <w:proofErr w:type="spellStart"/>
            <w:r w:rsidRPr="00B32A39">
              <w:rPr>
                <w:sz w:val="16"/>
                <w:szCs w:val="16"/>
              </w:rPr>
              <w:t>Veneris</w:t>
            </w:r>
            <w:proofErr w:type="spellEnd"/>
            <w:r w:rsidRPr="00B32A39">
              <w:rPr>
                <w:sz w:val="16"/>
                <w:szCs w:val="16"/>
              </w:rPr>
              <w:t xml:space="preserve"> di </w:t>
            </w:r>
            <w:proofErr w:type="spellStart"/>
            <w:r w:rsidRPr="00B32A39">
              <w:rPr>
                <w:sz w:val="16"/>
                <w:szCs w:val="16"/>
              </w:rPr>
              <w:t>Tricase</w:t>
            </w:r>
            <w:proofErr w:type="spellEnd"/>
            <w:r w:rsidRPr="00B32A39">
              <w:rPr>
                <w:sz w:val="16"/>
                <w:szCs w:val="16"/>
              </w:rPr>
              <w:t xml:space="preserve"> e l’Università del Salento;</w:t>
            </w:r>
          </w:p>
          <w:p w:rsidR="00E24D0A" w:rsidRPr="00B32A39" w:rsidRDefault="00E24D0A" w:rsidP="006B1FF8">
            <w:pPr>
              <w:autoSpaceDE w:val="0"/>
              <w:autoSpaceDN w:val="0"/>
              <w:adjustRightInd w:val="0"/>
              <w:ind w:right="-142"/>
              <w:jc w:val="both"/>
              <w:rPr>
                <w:sz w:val="16"/>
                <w:szCs w:val="16"/>
              </w:rPr>
            </w:pPr>
            <w:r w:rsidRPr="00B32A39">
              <w:rPr>
                <w:sz w:val="16"/>
                <w:szCs w:val="16"/>
              </w:rPr>
              <w:t xml:space="preserve">che il Comune di </w:t>
            </w:r>
            <w:proofErr w:type="spellStart"/>
            <w:r w:rsidRPr="00B32A39">
              <w:rPr>
                <w:sz w:val="16"/>
                <w:szCs w:val="16"/>
              </w:rPr>
              <w:t>Tricase</w:t>
            </w:r>
            <w:proofErr w:type="spellEnd"/>
            <w:r w:rsidRPr="00B32A39">
              <w:rPr>
                <w:sz w:val="16"/>
                <w:szCs w:val="16"/>
              </w:rPr>
              <w:t xml:space="preserve"> il 12/11/2012 (delibera n.89) ha sottoscritto un Protocollo d'Intesa con il CIHEAM-IAMB, nel quale veniva espressa la volontà reciproca di individuare iniziative e collaborazioni comuni che favoriscano lo sviluppo sostenibile ed integrato delle aree rurali e costiere;</w:t>
            </w:r>
          </w:p>
          <w:p w:rsidR="00E24D0A" w:rsidRPr="00B32A39" w:rsidRDefault="00E24D0A" w:rsidP="006B1FF8">
            <w:pPr>
              <w:autoSpaceDE w:val="0"/>
              <w:autoSpaceDN w:val="0"/>
              <w:adjustRightInd w:val="0"/>
              <w:ind w:right="-142"/>
              <w:jc w:val="both"/>
              <w:rPr>
                <w:sz w:val="16"/>
                <w:szCs w:val="16"/>
              </w:rPr>
            </w:pPr>
          </w:p>
          <w:p w:rsidR="00E24D0A" w:rsidRPr="00B32A39" w:rsidRDefault="00E24D0A" w:rsidP="006B1FF8">
            <w:pPr>
              <w:autoSpaceDE w:val="0"/>
              <w:autoSpaceDN w:val="0"/>
              <w:adjustRightInd w:val="0"/>
              <w:ind w:right="-142"/>
              <w:jc w:val="both"/>
              <w:rPr>
                <w:sz w:val="16"/>
                <w:szCs w:val="16"/>
              </w:rPr>
            </w:pPr>
            <w:r w:rsidRPr="00B32A39">
              <w:rPr>
                <w:sz w:val="16"/>
                <w:szCs w:val="16"/>
              </w:rPr>
              <w:t xml:space="preserve">che in data 13 giugno 2012 il CIHEAM-IAMB ha stipulato un Accordo Quadro con il </w:t>
            </w:r>
            <w:proofErr w:type="spellStart"/>
            <w:r w:rsidRPr="00B32A39">
              <w:rPr>
                <w:sz w:val="16"/>
                <w:szCs w:val="16"/>
              </w:rPr>
              <w:t>DiSTeBA</w:t>
            </w:r>
            <w:proofErr w:type="spellEnd"/>
            <w:r w:rsidRPr="00B32A39">
              <w:rPr>
                <w:sz w:val="16"/>
                <w:szCs w:val="16"/>
              </w:rPr>
              <w:t xml:space="preserve"> -Dipartimento di Scienze e Tecnologie Biologiche ed Ambientali dell'Università del Salento – di collaborazione istituzionale per attività di alta formazione, ricerca e trasferimento tecnologico nel settore agricolo, nonché nella cooperazione con i paesi dell' area mediterranea. In tale ambito si avvia una collaborazione, attualmente in corso,  per l’attuazione del programma </w:t>
            </w:r>
            <w:proofErr w:type="spellStart"/>
            <w:r w:rsidRPr="00B32A39">
              <w:rPr>
                <w:sz w:val="16"/>
                <w:szCs w:val="16"/>
              </w:rPr>
              <w:t>LifeWatch</w:t>
            </w:r>
            <w:proofErr w:type="spellEnd"/>
            <w:r w:rsidRPr="00B32A39">
              <w:rPr>
                <w:sz w:val="16"/>
                <w:szCs w:val="16"/>
              </w:rPr>
              <w:t xml:space="preserve"> (</w:t>
            </w:r>
            <w:proofErr w:type="spellStart"/>
            <w:r w:rsidRPr="00B32A39">
              <w:rPr>
                <w:sz w:val="16"/>
                <w:szCs w:val="16"/>
              </w:rPr>
              <w:t>eSciennce</w:t>
            </w:r>
            <w:proofErr w:type="spellEnd"/>
            <w:r w:rsidRPr="00B32A39">
              <w:rPr>
                <w:sz w:val="16"/>
                <w:szCs w:val="16"/>
              </w:rPr>
              <w:t xml:space="preserve"> and </w:t>
            </w:r>
            <w:proofErr w:type="spellStart"/>
            <w:r w:rsidRPr="00B32A39">
              <w:rPr>
                <w:sz w:val="16"/>
                <w:szCs w:val="16"/>
              </w:rPr>
              <w:t>Technology</w:t>
            </w:r>
            <w:proofErr w:type="spellEnd"/>
            <w:r w:rsidRPr="00B32A39">
              <w:rPr>
                <w:sz w:val="16"/>
                <w:szCs w:val="16"/>
              </w:rPr>
              <w:t xml:space="preserve"> </w:t>
            </w:r>
            <w:proofErr w:type="spellStart"/>
            <w:r w:rsidRPr="00B32A39">
              <w:rPr>
                <w:sz w:val="16"/>
                <w:szCs w:val="16"/>
              </w:rPr>
              <w:t>Infrastructure</w:t>
            </w:r>
            <w:proofErr w:type="spellEnd"/>
            <w:r w:rsidRPr="00B32A39">
              <w:rPr>
                <w:sz w:val="16"/>
                <w:szCs w:val="16"/>
              </w:rPr>
              <w:t xml:space="preserve"> </w:t>
            </w:r>
            <w:proofErr w:type="spellStart"/>
            <w:r w:rsidRPr="00B32A39">
              <w:rPr>
                <w:sz w:val="16"/>
                <w:szCs w:val="16"/>
              </w:rPr>
              <w:t>for</w:t>
            </w:r>
            <w:proofErr w:type="spellEnd"/>
            <w:r w:rsidRPr="00B32A39">
              <w:rPr>
                <w:sz w:val="16"/>
                <w:szCs w:val="16"/>
              </w:rPr>
              <w:t xml:space="preserve"> </w:t>
            </w:r>
            <w:proofErr w:type="spellStart"/>
            <w:r w:rsidRPr="00B32A39">
              <w:rPr>
                <w:sz w:val="16"/>
                <w:szCs w:val="16"/>
              </w:rPr>
              <w:t>Biodiversity</w:t>
            </w:r>
            <w:proofErr w:type="spellEnd"/>
            <w:r w:rsidRPr="00B32A39">
              <w:rPr>
                <w:sz w:val="16"/>
                <w:szCs w:val="16"/>
              </w:rPr>
              <w:t xml:space="preserve"> and </w:t>
            </w:r>
            <w:proofErr w:type="spellStart"/>
            <w:r w:rsidRPr="00B32A39">
              <w:rPr>
                <w:sz w:val="16"/>
                <w:szCs w:val="16"/>
              </w:rPr>
              <w:t>Ecosisystem</w:t>
            </w:r>
            <w:proofErr w:type="spellEnd"/>
            <w:r w:rsidRPr="00B32A39">
              <w:rPr>
                <w:sz w:val="16"/>
                <w:szCs w:val="16"/>
              </w:rPr>
              <w:t xml:space="preserve"> </w:t>
            </w:r>
            <w:proofErr w:type="spellStart"/>
            <w:r w:rsidRPr="00B32A39">
              <w:rPr>
                <w:sz w:val="16"/>
                <w:szCs w:val="16"/>
              </w:rPr>
              <w:t>Research</w:t>
            </w:r>
            <w:proofErr w:type="spellEnd"/>
            <w:r w:rsidRPr="00B32A39">
              <w:rPr>
                <w:sz w:val="16"/>
                <w:szCs w:val="16"/>
              </w:rPr>
              <w:t>) – sulle attività di ricerca e sviluppo nel campo delle infrastrutture sulla biodiversità;</w:t>
            </w:r>
          </w:p>
          <w:p w:rsidR="00E24D0A" w:rsidRPr="00B32A39" w:rsidRDefault="00E24D0A" w:rsidP="006B1FF8">
            <w:pPr>
              <w:autoSpaceDE w:val="0"/>
              <w:autoSpaceDN w:val="0"/>
              <w:adjustRightInd w:val="0"/>
              <w:ind w:right="-142"/>
              <w:rPr>
                <w:sz w:val="16"/>
                <w:szCs w:val="16"/>
              </w:rPr>
            </w:pPr>
          </w:p>
          <w:p w:rsidR="00E24D0A" w:rsidRPr="00B32A39" w:rsidRDefault="00E24D0A" w:rsidP="006B1FF8">
            <w:pPr>
              <w:autoSpaceDE w:val="0"/>
              <w:autoSpaceDN w:val="0"/>
              <w:adjustRightInd w:val="0"/>
              <w:ind w:right="-142"/>
              <w:jc w:val="both"/>
              <w:rPr>
                <w:sz w:val="16"/>
                <w:szCs w:val="16"/>
              </w:rPr>
            </w:pPr>
            <w:r w:rsidRPr="00B32A39">
              <w:rPr>
                <w:sz w:val="16"/>
                <w:szCs w:val="16"/>
              </w:rPr>
              <w:t xml:space="preserve">che in data 19 aprile 2013 con Delibera di giunta comunale di </w:t>
            </w:r>
            <w:proofErr w:type="spellStart"/>
            <w:r w:rsidRPr="00B32A39">
              <w:rPr>
                <w:sz w:val="16"/>
                <w:szCs w:val="16"/>
              </w:rPr>
              <w:t>Tricase</w:t>
            </w:r>
            <w:proofErr w:type="spellEnd"/>
            <w:r w:rsidRPr="00B32A39">
              <w:rPr>
                <w:sz w:val="16"/>
                <w:szCs w:val="16"/>
              </w:rPr>
              <w:t xml:space="preserve"> n. 96 avente per oggetto la “REALIZZAZIONE </w:t>
            </w:r>
            <w:proofErr w:type="spellStart"/>
            <w:r w:rsidRPr="00B32A39">
              <w:rPr>
                <w:sz w:val="16"/>
                <w:szCs w:val="16"/>
              </w:rPr>
              <w:t>DI</w:t>
            </w:r>
            <w:proofErr w:type="spellEnd"/>
            <w:r w:rsidRPr="00B32A39">
              <w:rPr>
                <w:sz w:val="16"/>
                <w:szCs w:val="16"/>
              </w:rPr>
              <w:t xml:space="preserve"> UN LABORATORIO </w:t>
            </w:r>
            <w:proofErr w:type="spellStart"/>
            <w:r w:rsidRPr="00B32A39">
              <w:rPr>
                <w:sz w:val="16"/>
                <w:szCs w:val="16"/>
              </w:rPr>
              <w:t>DI</w:t>
            </w:r>
            <w:proofErr w:type="spellEnd"/>
            <w:r w:rsidRPr="00B32A39">
              <w:rPr>
                <w:sz w:val="16"/>
                <w:szCs w:val="16"/>
              </w:rPr>
              <w:t xml:space="preserve"> STUDIO E </w:t>
            </w:r>
            <w:r w:rsidRPr="00B32A39">
              <w:rPr>
                <w:sz w:val="16"/>
                <w:szCs w:val="16"/>
              </w:rPr>
              <w:lastRenderedPageBreak/>
              <w:t xml:space="preserve">MONITORAGGIO DELLE BIODIVERSITA' DEGLI ECOSISTEMI MARINI E COSTIERI” (da ora in poi chiamato “Laboratorio”)  è stata approvata una convenzione con l’UNIVERSITA' DEL SALENTO ed il CIHEAM-IAMB, attraverso la quale il Comune di </w:t>
            </w:r>
            <w:proofErr w:type="spellStart"/>
            <w:r w:rsidRPr="00B32A39">
              <w:rPr>
                <w:sz w:val="16"/>
                <w:szCs w:val="16"/>
              </w:rPr>
              <w:t>Tricase</w:t>
            </w:r>
            <w:proofErr w:type="spellEnd"/>
            <w:r w:rsidRPr="00B32A39">
              <w:rPr>
                <w:sz w:val="16"/>
                <w:szCs w:val="16"/>
              </w:rPr>
              <w:t xml:space="preserve"> mette a disposizione alcuni locali siti in </w:t>
            </w:r>
            <w:proofErr w:type="spellStart"/>
            <w:r w:rsidRPr="00B32A39">
              <w:rPr>
                <w:sz w:val="16"/>
                <w:szCs w:val="16"/>
              </w:rPr>
              <w:t>Tricase</w:t>
            </w:r>
            <w:proofErr w:type="spellEnd"/>
            <w:r w:rsidRPr="00B32A39">
              <w:rPr>
                <w:sz w:val="16"/>
                <w:szCs w:val="16"/>
              </w:rPr>
              <w:t xml:space="preserve">, lungomare Cristoforo Colombo, come sede del Laboratorio; </w:t>
            </w:r>
          </w:p>
          <w:p w:rsidR="00E24D0A" w:rsidRPr="00B32A39" w:rsidRDefault="00E24D0A" w:rsidP="006B1FF8">
            <w:pPr>
              <w:autoSpaceDE w:val="0"/>
              <w:autoSpaceDN w:val="0"/>
              <w:adjustRightInd w:val="0"/>
              <w:ind w:right="-142"/>
              <w:rPr>
                <w:sz w:val="16"/>
                <w:szCs w:val="16"/>
              </w:rPr>
            </w:pPr>
          </w:p>
          <w:p w:rsidR="00E24D0A" w:rsidRPr="00B32A39" w:rsidRDefault="00E24D0A" w:rsidP="006B1FF8">
            <w:pPr>
              <w:autoSpaceDE w:val="0"/>
              <w:autoSpaceDN w:val="0"/>
              <w:adjustRightInd w:val="0"/>
              <w:ind w:right="-142"/>
              <w:jc w:val="both"/>
              <w:rPr>
                <w:sz w:val="16"/>
                <w:szCs w:val="16"/>
              </w:rPr>
            </w:pPr>
            <w:r w:rsidRPr="00B32A39">
              <w:rPr>
                <w:sz w:val="16"/>
                <w:szCs w:val="16"/>
              </w:rPr>
              <w:t xml:space="preserve">che in data  29 Gennaio 2014 è stato siglato un Protocollo d’intesa tra il Comune di </w:t>
            </w:r>
            <w:proofErr w:type="spellStart"/>
            <w:r w:rsidRPr="00B32A39">
              <w:rPr>
                <w:sz w:val="16"/>
                <w:szCs w:val="16"/>
              </w:rPr>
              <w:t>Tricase</w:t>
            </w:r>
            <w:proofErr w:type="spellEnd"/>
            <w:r w:rsidRPr="00B32A39">
              <w:rPr>
                <w:sz w:val="16"/>
                <w:szCs w:val="16"/>
              </w:rPr>
              <w:t xml:space="preserve">, il CIHEAM –IAMB, l’ Associazione Magna Grecia Mare, l’Università del Salento, il Parco Regionale Costiero Otranto S. Maria di </w:t>
            </w:r>
            <w:proofErr w:type="spellStart"/>
            <w:r w:rsidRPr="00B32A39">
              <w:rPr>
                <w:sz w:val="16"/>
                <w:szCs w:val="16"/>
              </w:rPr>
              <w:t>Leuca</w:t>
            </w:r>
            <w:proofErr w:type="spellEnd"/>
            <w:r w:rsidRPr="00B32A39">
              <w:rPr>
                <w:sz w:val="16"/>
                <w:szCs w:val="16"/>
              </w:rPr>
              <w:t xml:space="preserve"> e Bosco di </w:t>
            </w:r>
            <w:proofErr w:type="spellStart"/>
            <w:r w:rsidRPr="00B32A39">
              <w:rPr>
                <w:sz w:val="16"/>
                <w:szCs w:val="16"/>
              </w:rPr>
              <w:t>Tricase</w:t>
            </w:r>
            <w:proofErr w:type="spellEnd"/>
            <w:r w:rsidRPr="00B32A39">
              <w:rPr>
                <w:sz w:val="16"/>
                <w:szCs w:val="16"/>
              </w:rPr>
              <w:t xml:space="preserve">, per il riconoscimento dell’Ecomuseo, vista la </w:t>
            </w:r>
            <w:proofErr w:type="spellStart"/>
            <w:r w:rsidRPr="00B32A39">
              <w:rPr>
                <w:sz w:val="16"/>
                <w:szCs w:val="16"/>
              </w:rPr>
              <w:t>L.R.</w:t>
            </w:r>
            <w:proofErr w:type="spellEnd"/>
            <w:r w:rsidRPr="00B32A39">
              <w:rPr>
                <w:sz w:val="16"/>
                <w:szCs w:val="16"/>
              </w:rPr>
              <w:t xml:space="preserve"> Puglia n. 15/11, denominato “Porto di </w:t>
            </w:r>
            <w:proofErr w:type="spellStart"/>
            <w:r w:rsidRPr="00B32A39">
              <w:rPr>
                <w:sz w:val="16"/>
                <w:szCs w:val="16"/>
              </w:rPr>
              <w:t>Tricase</w:t>
            </w:r>
            <w:proofErr w:type="spellEnd"/>
            <w:r w:rsidRPr="00B32A39">
              <w:rPr>
                <w:sz w:val="16"/>
                <w:szCs w:val="16"/>
              </w:rPr>
              <w:t xml:space="preserve"> – Ecomuseo di Venere”.</w:t>
            </w:r>
          </w:p>
          <w:p w:rsidR="00E24D0A" w:rsidRPr="00B32A39" w:rsidRDefault="00E24D0A" w:rsidP="006B1FF8">
            <w:pPr>
              <w:ind w:right="-142"/>
              <w:rPr>
                <w:sz w:val="16"/>
                <w:szCs w:val="16"/>
              </w:rPr>
            </w:pPr>
          </w:p>
          <w:p w:rsidR="00E24D0A" w:rsidRPr="00B32A39" w:rsidRDefault="00E24D0A" w:rsidP="006B1FF8">
            <w:pPr>
              <w:tabs>
                <w:tab w:val="left" w:pos="6663"/>
              </w:tabs>
              <w:autoSpaceDE w:val="0"/>
              <w:autoSpaceDN w:val="0"/>
              <w:adjustRightInd w:val="0"/>
              <w:ind w:right="-142"/>
              <w:jc w:val="both"/>
              <w:rPr>
                <w:b/>
                <w:sz w:val="16"/>
                <w:szCs w:val="16"/>
              </w:rPr>
            </w:pPr>
            <w:r w:rsidRPr="00B32A39">
              <w:rPr>
                <w:b/>
                <w:sz w:val="16"/>
                <w:szCs w:val="16"/>
              </w:rPr>
              <w:t>Considerato</w:t>
            </w:r>
          </w:p>
          <w:p w:rsidR="00E24D0A" w:rsidRPr="00B32A39" w:rsidRDefault="00E24D0A" w:rsidP="006B1FF8">
            <w:pPr>
              <w:tabs>
                <w:tab w:val="left" w:pos="6663"/>
              </w:tabs>
              <w:autoSpaceDE w:val="0"/>
              <w:autoSpaceDN w:val="0"/>
              <w:adjustRightInd w:val="0"/>
              <w:ind w:right="-142"/>
              <w:jc w:val="both"/>
              <w:rPr>
                <w:sz w:val="16"/>
                <w:szCs w:val="16"/>
              </w:rPr>
            </w:pPr>
            <w:r w:rsidRPr="00B32A39">
              <w:rPr>
                <w:sz w:val="16"/>
                <w:szCs w:val="16"/>
              </w:rPr>
              <w:t xml:space="preserve">che il Comune di </w:t>
            </w:r>
            <w:proofErr w:type="spellStart"/>
            <w:r w:rsidRPr="00B32A39">
              <w:rPr>
                <w:sz w:val="16"/>
                <w:szCs w:val="16"/>
              </w:rPr>
              <w:t>Tricase</w:t>
            </w:r>
            <w:proofErr w:type="spellEnd"/>
            <w:r w:rsidRPr="00B32A39">
              <w:rPr>
                <w:sz w:val="16"/>
                <w:szCs w:val="16"/>
              </w:rPr>
              <w:t xml:space="preserve"> è attuatore del Progetto “La Rena e le Sette Bocche”, l’antico approdo di </w:t>
            </w:r>
            <w:proofErr w:type="spellStart"/>
            <w:r w:rsidRPr="00B32A39">
              <w:rPr>
                <w:sz w:val="16"/>
                <w:szCs w:val="16"/>
              </w:rPr>
              <w:t>Tricase</w:t>
            </w:r>
            <w:proofErr w:type="spellEnd"/>
            <w:r w:rsidRPr="00B32A39">
              <w:rPr>
                <w:sz w:val="16"/>
                <w:szCs w:val="16"/>
              </w:rPr>
              <w:t xml:space="preserve">, riguardante interventi di recupero, restauro, valorizzazione e fruizione delle storiche grotte (complesso rupestre), delle antiche abitazioni dei pescatori e delle aree esterne di pertinenza del Porto di </w:t>
            </w:r>
            <w:proofErr w:type="spellStart"/>
            <w:r w:rsidRPr="00B32A39">
              <w:rPr>
                <w:sz w:val="16"/>
                <w:szCs w:val="16"/>
              </w:rPr>
              <w:t>Tricase</w:t>
            </w:r>
            <w:proofErr w:type="spellEnd"/>
            <w:r w:rsidRPr="00B32A39">
              <w:rPr>
                <w:sz w:val="16"/>
                <w:szCs w:val="16"/>
              </w:rPr>
              <w:t xml:space="preserve">, finanziato integralmente dal </w:t>
            </w:r>
            <w:proofErr w:type="spellStart"/>
            <w:r w:rsidRPr="00B32A39">
              <w:rPr>
                <w:sz w:val="16"/>
                <w:szCs w:val="16"/>
              </w:rPr>
              <w:t>POIn</w:t>
            </w:r>
            <w:proofErr w:type="spellEnd"/>
            <w:r w:rsidRPr="00B32A39">
              <w:rPr>
                <w:sz w:val="16"/>
                <w:szCs w:val="16"/>
              </w:rPr>
              <w:t xml:space="preserve"> Programma Operativo Interregionale “Attrattori culturali, naturali e turismo”; detto intervento si inserisce funzionalmente e strutturalmente nell’ambito dell’Ecomuseo e del Laboratorio su citati, come indicato nella scheda progetto presentata dal Comune di </w:t>
            </w:r>
            <w:proofErr w:type="spellStart"/>
            <w:r w:rsidRPr="00B32A39">
              <w:rPr>
                <w:sz w:val="16"/>
                <w:szCs w:val="16"/>
              </w:rPr>
              <w:t>Tricase</w:t>
            </w:r>
            <w:proofErr w:type="spellEnd"/>
            <w:r w:rsidRPr="00B32A39">
              <w:rPr>
                <w:sz w:val="16"/>
                <w:szCs w:val="16"/>
              </w:rPr>
              <w:t xml:space="preserve"> e ammessa a finanziamento;</w:t>
            </w:r>
          </w:p>
          <w:p w:rsidR="00E24D0A" w:rsidRPr="00B32A39" w:rsidRDefault="00E24D0A" w:rsidP="006B1FF8">
            <w:pPr>
              <w:pStyle w:val="Default"/>
              <w:spacing w:line="276" w:lineRule="auto"/>
              <w:ind w:right="-142"/>
              <w:rPr>
                <w:rFonts w:asciiTheme="minorHAnsi" w:hAnsiTheme="minorHAnsi"/>
                <w:color w:val="auto"/>
                <w:sz w:val="16"/>
                <w:szCs w:val="16"/>
              </w:rPr>
            </w:pPr>
          </w:p>
          <w:p w:rsidR="00E24D0A" w:rsidRPr="00B32A39" w:rsidRDefault="00E24D0A" w:rsidP="006B1FF8">
            <w:pPr>
              <w:autoSpaceDE w:val="0"/>
              <w:autoSpaceDN w:val="0"/>
              <w:adjustRightInd w:val="0"/>
              <w:ind w:right="-142"/>
              <w:jc w:val="both"/>
              <w:rPr>
                <w:sz w:val="16"/>
                <w:szCs w:val="16"/>
              </w:rPr>
            </w:pPr>
            <w:r w:rsidRPr="00B32A39">
              <w:rPr>
                <w:sz w:val="16"/>
                <w:szCs w:val="16"/>
              </w:rPr>
              <w:t xml:space="preserve">che il CIHEAM-IAMB è uno dei soggetti attuatori (insieme con l’Università del Salento e altri partner italiani e greci) del progetto BIG </w:t>
            </w:r>
            <w:proofErr w:type="spellStart"/>
            <w:r w:rsidRPr="00B32A39">
              <w:rPr>
                <w:sz w:val="16"/>
                <w:szCs w:val="16"/>
              </w:rPr>
              <w:t>Improving</w:t>
            </w:r>
            <w:proofErr w:type="spellEnd"/>
            <w:r w:rsidRPr="00B32A39">
              <w:rPr>
                <w:sz w:val="16"/>
                <w:szCs w:val="16"/>
              </w:rPr>
              <w:t xml:space="preserve"> </w:t>
            </w:r>
            <w:proofErr w:type="spellStart"/>
            <w:r w:rsidRPr="00B32A39">
              <w:rPr>
                <w:sz w:val="16"/>
                <w:szCs w:val="16"/>
              </w:rPr>
              <w:t>governance</w:t>
            </w:r>
            <w:proofErr w:type="spellEnd"/>
            <w:r w:rsidRPr="00B32A39">
              <w:rPr>
                <w:sz w:val="16"/>
                <w:szCs w:val="16"/>
              </w:rPr>
              <w:t xml:space="preserve">, management and </w:t>
            </w:r>
            <w:proofErr w:type="spellStart"/>
            <w:r w:rsidRPr="00B32A39">
              <w:rPr>
                <w:sz w:val="16"/>
                <w:szCs w:val="16"/>
              </w:rPr>
              <w:t>sustainability</w:t>
            </w:r>
            <w:proofErr w:type="spellEnd"/>
            <w:r w:rsidRPr="00B32A39">
              <w:rPr>
                <w:sz w:val="16"/>
                <w:szCs w:val="16"/>
              </w:rPr>
              <w:t xml:space="preserve"> </w:t>
            </w:r>
            <w:proofErr w:type="spellStart"/>
            <w:r w:rsidRPr="00B32A39">
              <w:rPr>
                <w:sz w:val="16"/>
                <w:szCs w:val="16"/>
              </w:rPr>
              <w:t>of</w:t>
            </w:r>
            <w:proofErr w:type="spellEnd"/>
            <w:r w:rsidRPr="00B32A39">
              <w:rPr>
                <w:sz w:val="16"/>
                <w:szCs w:val="16"/>
              </w:rPr>
              <w:t xml:space="preserve"> </w:t>
            </w:r>
            <w:proofErr w:type="spellStart"/>
            <w:r w:rsidRPr="00B32A39">
              <w:rPr>
                <w:sz w:val="16"/>
                <w:szCs w:val="16"/>
              </w:rPr>
              <w:t>rural</w:t>
            </w:r>
            <w:proofErr w:type="spellEnd"/>
            <w:r w:rsidRPr="00B32A39">
              <w:rPr>
                <w:sz w:val="16"/>
                <w:szCs w:val="16"/>
              </w:rPr>
              <w:t xml:space="preserve"> and </w:t>
            </w:r>
            <w:proofErr w:type="spellStart"/>
            <w:r w:rsidRPr="00B32A39">
              <w:rPr>
                <w:sz w:val="16"/>
                <w:szCs w:val="16"/>
              </w:rPr>
              <w:t>coastal</w:t>
            </w:r>
            <w:proofErr w:type="spellEnd"/>
            <w:r w:rsidRPr="00B32A39">
              <w:rPr>
                <w:sz w:val="16"/>
                <w:szCs w:val="16"/>
              </w:rPr>
              <w:t xml:space="preserve"> </w:t>
            </w:r>
            <w:proofErr w:type="spellStart"/>
            <w:r w:rsidRPr="00B32A39">
              <w:rPr>
                <w:sz w:val="16"/>
                <w:szCs w:val="16"/>
              </w:rPr>
              <w:t>protected</w:t>
            </w:r>
            <w:proofErr w:type="spellEnd"/>
            <w:r w:rsidRPr="00B32A39">
              <w:rPr>
                <w:sz w:val="16"/>
                <w:szCs w:val="16"/>
              </w:rPr>
              <w:t xml:space="preserve"> </w:t>
            </w:r>
            <w:proofErr w:type="spellStart"/>
            <w:r w:rsidRPr="00B32A39">
              <w:rPr>
                <w:sz w:val="16"/>
                <w:szCs w:val="16"/>
              </w:rPr>
              <w:t>areas</w:t>
            </w:r>
            <w:proofErr w:type="spellEnd"/>
            <w:r w:rsidRPr="00B32A39">
              <w:rPr>
                <w:sz w:val="16"/>
                <w:szCs w:val="16"/>
              </w:rPr>
              <w:t xml:space="preserve"> and </w:t>
            </w:r>
            <w:proofErr w:type="spellStart"/>
            <w:r w:rsidRPr="00B32A39">
              <w:rPr>
                <w:sz w:val="16"/>
                <w:szCs w:val="16"/>
              </w:rPr>
              <w:t>contributing</w:t>
            </w:r>
            <w:proofErr w:type="spellEnd"/>
            <w:r w:rsidRPr="00B32A39">
              <w:rPr>
                <w:sz w:val="16"/>
                <w:szCs w:val="16"/>
              </w:rPr>
              <w:t xml:space="preserve"> </w:t>
            </w:r>
            <w:proofErr w:type="spellStart"/>
            <w:r w:rsidRPr="00B32A39">
              <w:rPr>
                <w:sz w:val="16"/>
                <w:szCs w:val="16"/>
              </w:rPr>
              <w:t>to</w:t>
            </w:r>
            <w:proofErr w:type="spellEnd"/>
            <w:r w:rsidRPr="00B32A39">
              <w:rPr>
                <w:sz w:val="16"/>
                <w:szCs w:val="16"/>
              </w:rPr>
              <w:t xml:space="preserve"> the </w:t>
            </w:r>
            <w:proofErr w:type="spellStart"/>
            <w:r w:rsidRPr="00B32A39">
              <w:rPr>
                <w:sz w:val="16"/>
                <w:szCs w:val="16"/>
              </w:rPr>
              <w:t>implementation</w:t>
            </w:r>
            <w:proofErr w:type="spellEnd"/>
            <w:r w:rsidRPr="00B32A39">
              <w:rPr>
                <w:sz w:val="16"/>
                <w:szCs w:val="16"/>
              </w:rPr>
              <w:t xml:space="preserve"> </w:t>
            </w:r>
            <w:proofErr w:type="spellStart"/>
            <w:r w:rsidRPr="00B32A39">
              <w:rPr>
                <w:sz w:val="16"/>
                <w:szCs w:val="16"/>
              </w:rPr>
              <w:t>of</w:t>
            </w:r>
            <w:proofErr w:type="spellEnd"/>
            <w:r w:rsidRPr="00B32A39">
              <w:rPr>
                <w:sz w:val="16"/>
                <w:szCs w:val="16"/>
              </w:rPr>
              <w:t xml:space="preserve"> the Natura 2000 </w:t>
            </w:r>
            <w:proofErr w:type="spellStart"/>
            <w:r w:rsidRPr="00B32A39">
              <w:rPr>
                <w:sz w:val="16"/>
                <w:szCs w:val="16"/>
              </w:rPr>
              <w:t>provisions</w:t>
            </w:r>
            <w:proofErr w:type="spellEnd"/>
            <w:r w:rsidRPr="00B32A39">
              <w:rPr>
                <w:sz w:val="16"/>
                <w:szCs w:val="16"/>
              </w:rPr>
              <w:t xml:space="preserve"> in IT and GR, approvato il 11.12.2013, nell’ambito del programma di cooperazione territoriale Grecia Italia 2007-2013. Il progetto BIG prevede tra i suoi obiettivi “la realizzazione e implementazione di un laboratorio per il monitoraggio della biodiversità marina e costiera”; a tal fine,  il CIHEAM-IAMB dispone di risorse finanziarie garantite dal progetto BIG per la ristrutturazione e adeguamento dei locali, nonché l’implementazione delle attrezzature necessarie per la realizzazione e attivazione del laboratorio.</w:t>
            </w:r>
            <w:bookmarkStart w:id="0" w:name="_GoBack"/>
            <w:bookmarkEnd w:id="0"/>
            <w:r w:rsidRPr="00B32A39">
              <w:rPr>
                <w:sz w:val="16"/>
                <w:szCs w:val="16"/>
              </w:rPr>
              <w:t xml:space="preserve"> Detto laboratorio è costituito da una parte denominata </w:t>
            </w:r>
            <w:r w:rsidRPr="00B32A39">
              <w:rPr>
                <w:sz w:val="16"/>
                <w:szCs w:val="16"/>
              </w:rPr>
              <w:lastRenderedPageBreak/>
              <w:t>Osservatorio per il monitoraggio della biodiversità marina e costiera, un laboratorio di biologia marina e un’area formativa e divulgativa</w:t>
            </w:r>
          </w:p>
          <w:p w:rsidR="00E24D0A" w:rsidRPr="00B32A39" w:rsidRDefault="00E24D0A" w:rsidP="006B1FF8">
            <w:pPr>
              <w:autoSpaceDE w:val="0"/>
              <w:autoSpaceDN w:val="0"/>
              <w:adjustRightInd w:val="0"/>
              <w:ind w:right="-142"/>
              <w:rPr>
                <w:sz w:val="16"/>
                <w:szCs w:val="16"/>
              </w:rPr>
            </w:pPr>
          </w:p>
          <w:p w:rsidR="00E24D0A" w:rsidRPr="00B32A39" w:rsidRDefault="00E24D0A" w:rsidP="006B1FF8">
            <w:pPr>
              <w:autoSpaceDE w:val="0"/>
              <w:autoSpaceDN w:val="0"/>
              <w:adjustRightInd w:val="0"/>
              <w:ind w:right="-142"/>
              <w:jc w:val="both"/>
              <w:rPr>
                <w:sz w:val="16"/>
                <w:szCs w:val="16"/>
              </w:rPr>
            </w:pPr>
            <w:r w:rsidRPr="00B32A39">
              <w:rPr>
                <w:sz w:val="16"/>
                <w:szCs w:val="16"/>
              </w:rPr>
              <w:t xml:space="preserve">Dato atto, alla luce delle suddette considerazioni che il Comune di </w:t>
            </w:r>
            <w:proofErr w:type="spellStart"/>
            <w:r w:rsidRPr="00B32A39">
              <w:rPr>
                <w:sz w:val="16"/>
                <w:szCs w:val="16"/>
              </w:rPr>
              <w:t>Tricase</w:t>
            </w:r>
            <w:proofErr w:type="spellEnd"/>
            <w:r w:rsidRPr="00B32A39">
              <w:rPr>
                <w:sz w:val="16"/>
                <w:szCs w:val="16"/>
              </w:rPr>
              <w:t xml:space="preserve"> ritiene di addivenire ad un accordo con il CIHEAM-IAMB per  la messa a disposizione dei  locali siti in </w:t>
            </w:r>
            <w:proofErr w:type="spellStart"/>
            <w:r w:rsidRPr="00B32A39">
              <w:rPr>
                <w:sz w:val="16"/>
                <w:szCs w:val="16"/>
              </w:rPr>
              <w:t>Tricase</w:t>
            </w:r>
            <w:proofErr w:type="spellEnd"/>
            <w:r w:rsidRPr="00B32A39">
              <w:rPr>
                <w:sz w:val="16"/>
                <w:szCs w:val="16"/>
              </w:rPr>
              <w:t xml:space="preserve">, lungomare Cristoforo Colombo lotto A (come da planimetria allegata), da destinare a sede del Laboratorio di studio e monitoraggio della biodiversità degli ecosistemi marini costieri mediante la stipula di una apposita convenzione regolante i reciproci rapporti per la “REALIZZAZIONE </w:t>
            </w:r>
            <w:proofErr w:type="spellStart"/>
            <w:r w:rsidRPr="00B32A39">
              <w:rPr>
                <w:sz w:val="16"/>
                <w:szCs w:val="16"/>
              </w:rPr>
              <w:t>DI</w:t>
            </w:r>
            <w:proofErr w:type="spellEnd"/>
            <w:r w:rsidRPr="00B32A39">
              <w:rPr>
                <w:sz w:val="16"/>
                <w:szCs w:val="16"/>
              </w:rPr>
              <w:t xml:space="preserve"> UN LABORATORIO </w:t>
            </w:r>
            <w:proofErr w:type="spellStart"/>
            <w:r w:rsidRPr="00B32A39">
              <w:rPr>
                <w:sz w:val="16"/>
                <w:szCs w:val="16"/>
              </w:rPr>
              <w:t>DI</w:t>
            </w:r>
            <w:proofErr w:type="spellEnd"/>
            <w:r w:rsidRPr="00B32A39">
              <w:rPr>
                <w:sz w:val="16"/>
                <w:szCs w:val="16"/>
              </w:rPr>
              <w:t xml:space="preserve"> STUDIO E MONITORAGGIO DELLE BIODIVERSITA' DEGLI ECOSISTEMI MARINI E COSTIERI”;</w:t>
            </w:r>
          </w:p>
          <w:p w:rsidR="00E24D0A" w:rsidRPr="00B32A39" w:rsidRDefault="00E24D0A" w:rsidP="006B1FF8">
            <w:pPr>
              <w:pStyle w:val="Corpodeltesto"/>
              <w:rPr>
                <w:rFonts w:asciiTheme="minorHAnsi" w:hAnsiTheme="minorHAnsi"/>
                <w:sz w:val="16"/>
                <w:szCs w:val="16"/>
              </w:rPr>
            </w:pPr>
          </w:p>
          <w:p w:rsidR="00E24D0A" w:rsidRPr="00B32A39" w:rsidRDefault="00E24D0A" w:rsidP="006B1FF8">
            <w:pPr>
              <w:pStyle w:val="Corpodeltesto"/>
              <w:rPr>
                <w:rFonts w:asciiTheme="minorHAnsi" w:hAnsiTheme="minorHAnsi"/>
                <w:sz w:val="16"/>
                <w:szCs w:val="16"/>
              </w:rPr>
            </w:pPr>
            <w:r w:rsidRPr="00B32A39">
              <w:rPr>
                <w:rFonts w:asciiTheme="minorHAnsi" w:hAnsiTheme="minorHAnsi"/>
                <w:b/>
                <w:sz w:val="16"/>
                <w:szCs w:val="16"/>
              </w:rPr>
              <w:t>VISTE</w:t>
            </w:r>
            <w:r w:rsidRPr="00B32A39">
              <w:rPr>
                <w:rFonts w:asciiTheme="minorHAnsi" w:hAnsiTheme="minorHAnsi"/>
                <w:sz w:val="16"/>
                <w:szCs w:val="16"/>
              </w:rPr>
              <w:t xml:space="preserve"> le suesposte premesse;</w:t>
            </w:r>
          </w:p>
          <w:p w:rsidR="00E24D0A" w:rsidRPr="00B32A39" w:rsidRDefault="00E24D0A" w:rsidP="006B1FF8">
            <w:pPr>
              <w:autoSpaceDE w:val="0"/>
              <w:autoSpaceDN w:val="0"/>
              <w:adjustRightInd w:val="0"/>
              <w:ind w:right="-142"/>
              <w:jc w:val="both"/>
              <w:rPr>
                <w:sz w:val="16"/>
                <w:szCs w:val="16"/>
              </w:rPr>
            </w:pPr>
          </w:p>
          <w:p w:rsidR="00E24D0A" w:rsidRPr="00B32A39" w:rsidRDefault="00E24D0A" w:rsidP="006B1FF8">
            <w:pPr>
              <w:pStyle w:val="Corpodeltesto"/>
              <w:rPr>
                <w:rFonts w:asciiTheme="minorHAnsi" w:hAnsiTheme="minorHAnsi"/>
                <w:sz w:val="16"/>
                <w:szCs w:val="16"/>
              </w:rPr>
            </w:pPr>
            <w:r w:rsidRPr="00B32A39">
              <w:rPr>
                <w:rFonts w:asciiTheme="minorHAnsi" w:hAnsiTheme="minorHAnsi"/>
                <w:b/>
                <w:sz w:val="16"/>
                <w:szCs w:val="16"/>
              </w:rPr>
              <w:t>VISTO</w:t>
            </w:r>
            <w:r w:rsidRPr="00B32A39">
              <w:rPr>
                <w:rFonts w:asciiTheme="minorHAnsi" w:hAnsiTheme="minorHAnsi"/>
                <w:sz w:val="16"/>
                <w:szCs w:val="16"/>
              </w:rPr>
              <w:t xml:space="preserve"> il T.U. delle leggi sull’Ordinamento degli Enti Locali approvato con D.L. </w:t>
            </w:r>
            <w:proofErr w:type="spellStart"/>
            <w:r w:rsidRPr="00B32A39">
              <w:rPr>
                <w:rFonts w:asciiTheme="minorHAnsi" w:hAnsiTheme="minorHAnsi"/>
                <w:sz w:val="16"/>
                <w:szCs w:val="16"/>
              </w:rPr>
              <w:t>n°</w:t>
            </w:r>
            <w:proofErr w:type="spellEnd"/>
            <w:r w:rsidRPr="00B32A39">
              <w:rPr>
                <w:rFonts w:asciiTheme="minorHAnsi" w:hAnsiTheme="minorHAnsi"/>
                <w:sz w:val="16"/>
                <w:szCs w:val="16"/>
              </w:rPr>
              <w:t xml:space="preserve"> 267 del 18.8.2000;</w:t>
            </w:r>
          </w:p>
          <w:p w:rsidR="00E24D0A" w:rsidRPr="00B32A39" w:rsidRDefault="00E24D0A" w:rsidP="006B1FF8">
            <w:pPr>
              <w:pStyle w:val="Corpodeltesto"/>
              <w:rPr>
                <w:rFonts w:asciiTheme="minorHAnsi" w:hAnsiTheme="minorHAnsi"/>
                <w:sz w:val="16"/>
                <w:szCs w:val="16"/>
              </w:rPr>
            </w:pPr>
          </w:p>
          <w:p w:rsidR="00E24D0A" w:rsidRPr="00B32A39" w:rsidRDefault="00E24D0A" w:rsidP="006B1FF8">
            <w:pPr>
              <w:pStyle w:val="Corpodeltesto"/>
              <w:rPr>
                <w:rFonts w:asciiTheme="minorHAnsi" w:hAnsiTheme="minorHAnsi"/>
                <w:sz w:val="16"/>
                <w:szCs w:val="16"/>
              </w:rPr>
            </w:pPr>
            <w:r w:rsidRPr="00B32A39">
              <w:rPr>
                <w:rFonts w:asciiTheme="minorHAnsi" w:hAnsiTheme="minorHAnsi"/>
                <w:b/>
                <w:sz w:val="16"/>
                <w:szCs w:val="16"/>
              </w:rPr>
              <w:t>ACQUISITO</w:t>
            </w:r>
            <w:r w:rsidRPr="00B32A39">
              <w:rPr>
                <w:rFonts w:asciiTheme="minorHAnsi" w:hAnsiTheme="minorHAnsi"/>
                <w:sz w:val="16"/>
                <w:szCs w:val="16"/>
              </w:rPr>
              <w:t xml:space="preserve"> il seguente parere di regolarità tecnica del responsabile del Settore LL.PP.: “Esaminata la proposta con riferimento:</w:t>
            </w:r>
          </w:p>
          <w:p w:rsidR="00E24D0A" w:rsidRPr="00B32A39" w:rsidRDefault="00E24D0A" w:rsidP="006B1FF8">
            <w:pPr>
              <w:pStyle w:val="Paragrafoelenco"/>
              <w:numPr>
                <w:ilvl w:val="0"/>
                <w:numId w:val="11"/>
              </w:numPr>
              <w:jc w:val="both"/>
              <w:rPr>
                <w:i/>
                <w:sz w:val="16"/>
                <w:szCs w:val="16"/>
              </w:rPr>
            </w:pPr>
            <w:r w:rsidRPr="00B32A39">
              <w:rPr>
                <w:i/>
                <w:sz w:val="16"/>
                <w:szCs w:val="16"/>
              </w:rPr>
              <w:t>Rispetto delle normative comunitarie, regionali e regolamentari, generali di settore;</w:t>
            </w:r>
          </w:p>
          <w:p w:rsidR="00E24D0A" w:rsidRPr="00B32A39" w:rsidRDefault="00E24D0A" w:rsidP="006B1FF8">
            <w:pPr>
              <w:pStyle w:val="Paragrafoelenco"/>
              <w:numPr>
                <w:ilvl w:val="0"/>
                <w:numId w:val="11"/>
              </w:numPr>
              <w:jc w:val="both"/>
              <w:rPr>
                <w:i/>
                <w:sz w:val="16"/>
                <w:szCs w:val="16"/>
              </w:rPr>
            </w:pPr>
            <w:r w:rsidRPr="00B32A39">
              <w:rPr>
                <w:i/>
                <w:sz w:val="16"/>
                <w:szCs w:val="16"/>
              </w:rPr>
              <w:t>Correttezza e regolarità della procedura;</w:t>
            </w:r>
          </w:p>
          <w:p w:rsidR="00E24D0A" w:rsidRPr="00B32A39" w:rsidRDefault="00E24D0A" w:rsidP="006B1FF8">
            <w:pPr>
              <w:pStyle w:val="Paragrafoelenco"/>
              <w:numPr>
                <w:ilvl w:val="0"/>
                <w:numId w:val="11"/>
              </w:numPr>
              <w:jc w:val="both"/>
              <w:rPr>
                <w:i/>
                <w:sz w:val="16"/>
                <w:szCs w:val="16"/>
              </w:rPr>
            </w:pPr>
            <w:r w:rsidRPr="00B32A39">
              <w:rPr>
                <w:i/>
                <w:sz w:val="16"/>
                <w:szCs w:val="16"/>
              </w:rPr>
              <w:t>Correttezza formale nella redazione dell’atto;</w:t>
            </w:r>
          </w:p>
          <w:p w:rsidR="00E24D0A" w:rsidRPr="00B32A39" w:rsidRDefault="00E24D0A" w:rsidP="006B1FF8">
            <w:pPr>
              <w:jc w:val="both"/>
              <w:rPr>
                <w:sz w:val="16"/>
                <w:szCs w:val="16"/>
              </w:rPr>
            </w:pPr>
            <w:r w:rsidRPr="00B32A39">
              <w:rPr>
                <w:sz w:val="16"/>
                <w:szCs w:val="16"/>
              </w:rPr>
              <w:t xml:space="preserve">esprime parere </w:t>
            </w:r>
            <w:r w:rsidRPr="00B32A39">
              <w:rPr>
                <w:b/>
                <w:i/>
                <w:sz w:val="16"/>
                <w:szCs w:val="16"/>
              </w:rPr>
              <w:t>“favorevole”</w:t>
            </w:r>
            <w:r w:rsidRPr="00B32A39">
              <w:rPr>
                <w:sz w:val="16"/>
                <w:szCs w:val="16"/>
              </w:rPr>
              <w:t>.</w:t>
            </w:r>
          </w:p>
          <w:p w:rsidR="00E24D0A" w:rsidRPr="00B32A39" w:rsidRDefault="00E24D0A" w:rsidP="006B1FF8">
            <w:pPr>
              <w:pStyle w:val="Corpodeltesto"/>
              <w:rPr>
                <w:rFonts w:asciiTheme="minorHAnsi" w:hAnsiTheme="minorHAnsi"/>
                <w:sz w:val="16"/>
                <w:szCs w:val="16"/>
              </w:rPr>
            </w:pPr>
          </w:p>
          <w:p w:rsidR="00E24D0A" w:rsidRPr="00B32A39" w:rsidRDefault="00E24D0A" w:rsidP="006B1FF8">
            <w:pPr>
              <w:pStyle w:val="Corpodeltesto"/>
              <w:rPr>
                <w:rFonts w:asciiTheme="minorHAnsi" w:hAnsiTheme="minorHAnsi"/>
                <w:sz w:val="16"/>
                <w:szCs w:val="16"/>
              </w:rPr>
            </w:pPr>
            <w:r w:rsidRPr="00B32A39">
              <w:rPr>
                <w:rFonts w:asciiTheme="minorHAnsi" w:hAnsiTheme="minorHAnsi"/>
                <w:b/>
                <w:sz w:val="16"/>
                <w:szCs w:val="16"/>
              </w:rPr>
              <w:t xml:space="preserve">ACQUISITO </w:t>
            </w:r>
            <w:r w:rsidRPr="00B32A39">
              <w:rPr>
                <w:rFonts w:asciiTheme="minorHAnsi" w:hAnsiTheme="minorHAnsi"/>
                <w:sz w:val="16"/>
                <w:szCs w:val="16"/>
              </w:rPr>
              <w:t xml:space="preserve">il parere di regolarità contabile dal responsabile dei servizi finanziari </w:t>
            </w:r>
            <w:proofErr w:type="spellStart"/>
            <w:r w:rsidRPr="00B32A39">
              <w:rPr>
                <w:rFonts w:asciiTheme="minorHAnsi" w:hAnsiTheme="minorHAnsi"/>
                <w:sz w:val="16"/>
                <w:szCs w:val="16"/>
              </w:rPr>
              <w:t>F.F.</w:t>
            </w:r>
            <w:proofErr w:type="spellEnd"/>
            <w:r w:rsidRPr="00B32A39">
              <w:rPr>
                <w:rFonts w:asciiTheme="minorHAnsi" w:hAnsiTheme="minorHAnsi"/>
                <w:sz w:val="16"/>
                <w:szCs w:val="16"/>
              </w:rPr>
              <w:t xml:space="preserve"> dott.ssa M. Rosaria PANICO.</w:t>
            </w:r>
          </w:p>
          <w:p w:rsidR="00E24D0A" w:rsidRPr="00B32A39" w:rsidRDefault="00E24D0A" w:rsidP="006B1FF8">
            <w:pPr>
              <w:pStyle w:val="Corpodeltesto"/>
              <w:rPr>
                <w:rFonts w:asciiTheme="minorHAnsi" w:hAnsiTheme="minorHAnsi"/>
                <w:sz w:val="16"/>
                <w:szCs w:val="16"/>
              </w:rPr>
            </w:pPr>
          </w:p>
          <w:p w:rsidR="00E24D0A" w:rsidRPr="00B32A39" w:rsidRDefault="00E24D0A" w:rsidP="006B1FF8">
            <w:pPr>
              <w:pStyle w:val="Corpodeltesto"/>
              <w:rPr>
                <w:rFonts w:asciiTheme="minorHAnsi" w:hAnsiTheme="minorHAnsi"/>
                <w:sz w:val="16"/>
                <w:szCs w:val="16"/>
              </w:rPr>
            </w:pPr>
            <w:r w:rsidRPr="00B32A39">
              <w:rPr>
                <w:rFonts w:asciiTheme="minorHAnsi" w:hAnsiTheme="minorHAnsi"/>
                <w:sz w:val="16"/>
                <w:szCs w:val="16"/>
              </w:rPr>
              <w:t>Sulla base del risultato della votazione, debitamente proclamato dal Presidente:</w:t>
            </w:r>
          </w:p>
          <w:p w:rsidR="00E24D0A" w:rsidRPr="00B32A39" w:rsidRDefault="00E24D0A" w:rsidP="006B1FF8">
            <w:pPr>
              <w:pStyle w:val="Corpodeltesto"/>
              <w:rPr>
                <w:rFonts w:asciiTheme="minorHAnsi" w:hAnsiTheme="minorHAnsi"/>
                <w:sz w:val="16"/>
                <w:szCs w:val="16"/>
              </w:rPr>
            </w:pPr>
          </w:p>
          <w:p w:rsidR="00E24D0A" w:rsidRPr="00B32A39" w:rsidRDefault="00E24D0A" w:rsidP="006B1FF8">
            <w:pPr>
              <w:pStyle w:val="Corpodeltesto"/>
              <w:jc w:val="center"/>
              <w:rPr>
                <w:rFonts w:asciiTheme="minorHAnsi" w:hAnsiTheme="minorHAnsi"/>
                <w:b/>
                <w:sz w:val="16"/>
                <w:szCs w:val="16"/>
              </w:rPr>
            </w:pPr>
            <w:r w:rsidRPr="00B32A39">
              <w:rPr>
                <w:rFonts w:asciiTheme="minorHAnsi" w:hAnsiTheme="minorHAnsi"/>
                <w:b/>
                <w:sz w:val="16"/>
                <w:szCs w:val="16"/>
              </w:rPr>
              <w:t>D E L I B E R A</w:t>
            </w:r>
          </w:p>
          <w:p w:rsidR="00E24D0A" w:rsidRPr="00B32A39" w:rsidRDefault="00E24D0A" w:rsidP="006B1FF8">
            <w:pPr>
              <w:pStyle w:val="Corpodeltesto"/>
              <w:rPr>
                <w:rFonts w:asciiTheme="minorHAnsi" w:hAnsiTheme="minorHAnsi"/>
                <w:sz w:val="16"/>
                <w:szCs w:val="16"/>
              </w:rPr>
            </w:pPr>
          </w:p>
          <w:p w:rsidR="00E24D0A" w:rsidRPr="00B32A39" w:rsidRDefault="00E24D0A" w:rsidP="006B1FF8">
            <w:pPr>
              <w:pStyle w:val="Corpodeltesto"/>
              <w:rPr>
                <w:rFonts w:asciiTheme="minorHAnsi" w:hAnsiTheme="minorHAnsi"/>
                <w:sz w:val="16"/>
                <w:szCs w:val="16"/>
              </w:rPr>
            </w:pPr>
            <w:r w:rsidRPr="00B32A39">
              <w:rPr>
                <w:rFonts w:asciiTheme="minorHAnsi" w:hAnsiTheme="minorHAnsi"/>
                <w:sz w:val="16"/>
                <w:szCs w:val="16"/>
              </w:rPr>
              <w:t xml:space="preserve">1)-Approvare la Convenzione per la realizzazione e implementazione di un laboratorio per il monitoraggio della biodiversità marina e costiera in </w:t>
            </w:r>
            <w:proofErr w:type="spellStart"/>
            <w:r w:rsidRPr="00B32A39">
              <w:rPr>
                <w:rFonts w:asciiTheme="minorHAnsi" w:hAnsiTheme="minorHAnsi"/>
                <w:sz w:val="16"/>
                <w:szCs w:val="16"/>
              </w:rPr>
              <w:t>Tricase</w:t>
            </w:r>
            <w:proofErr w:type="spellEnd"/>
            <w:r w:rsidRPr="00B32A39">
              <w:rPr>
                <w:rFonts w:asciiTheme="minorHAnsi" w:hAnsiTheme="minorHAnsi"/>
                <w:sz w:val="16"/>
                <w:szCs w:val="16"/>
              </w:rPr>
              <w:t xml:space="preserve"> Porto, il cui schema è allegato alla presente quale parte integrante e sostanziale.</w:t>
            </w:r>
          </w:p>
          <w:p w:rsidR="00E24D0A" w:rsidRPr="00B32A39" w:rsidRDefault="00E24D0A" w:rsidP="006B1FF8">
            <w:pPr>
              <w:pStyle w:val="Corpodeltesto"/>
              <w:rPr>
                <w:rFonts w:asciiTheme="minorHAnsi" w:hAnsiTheme="minorHAnsi"/>
                <w:sz w:val="16"/>
                <w:szCs w:val="16"/>
              </w:rPr>
            </w:pPr>
          </w:p>
          <w:p w:rsidR="00E24D0A" w:rsidRPr="00B32A39" w:rsidRDefault="00E24D0A" w:rsidP="006B1FF8">
            <w:pPr>
              <w:pStyle w:val="Corpodeltesto"/>
              <w:rPr>
                <w:rFonts w:asciiTheme="minorHAnsi" w:hAnsiTheme="minorHAnsi"/>
                <w:sz w:val="16"/>
                <w:szCs w:val="16"/>
              </w:rPr>
            </w:pPr>
            <w:r w:rsidRPr="00B32A39">
              <w:rPr>
                <w:rFonts w:asciiTheme="minorHAnsi" w:hAnsiTheme="minorHAnsi"/>
                <w:sz w:val="16"/>
                <w:szCs w:val="16"/>
              </w:rPr>
              <w:t xml:space="preserve">2)-Delegare l’ing. Antonio G. COPPOLA, nella qualità di Sindaco pro-tempore del Comune di </w:t>
            </w:r>
            <w:proofErr w:type="spellStart"/>
            <w:r w:rsidRPr="00B32A39">
              <w:rPr>
                <w:rFonts w:asciiTheme="minorHAnsi" w:hAnsiTheme="minorHAnsi"/>
                <w:sz w:val="16"/>
                <w:szCs w:val="16"/>
              </w:rPr>
              <w:t>Tricase</w:t>
            </w:r>
            <w:proofErr w:type="spellEnd"/>
            <w:r w:rsidRPr="00B32A39">
              <w:rPr>
                <w:rFonts w:asciiTheme="minorHAnsi" w:hAnsiTheme="minorHAnsi"/>
                <w:sz w:val="16"/>
                <w:szCs w:val="16"/>
              </w:rPr>
              <w:t xml:space="preserve">, alla </w:t>
            </w:r>
            <w:r w:rsidRPr="00B32A39">
              <w:rPr>
                <w:rFonts w:asciiTheme="minorHAnsi" w:hAnsiTheme="minorHAnsi"/>
                <w:sz w:val="16"/>
                <w:szCs w:val="16"/>
              </w:rPr>
              <w:lastRenderedPageBreak/>
              <w:t>firma della stessa.</w:t>
            </w:r>
          </w:p>
          <w:p w:rsidR="00E24D0A" w:rsidRPr="00B32A39" w:rsidRDefault="00E24D0A" w:rsidP="006B1FF8">
            <w:pPr>
              <w:pStyle w:val="Corpodeltesto"/>
              <w:rPr>
                <w:rFonts w:asciiTheme="minorHAnsi" w:hAnsiTheme="minorHAnsi"/>
                <w:sz w:val="16"/>
                <w:szCs w:val="16"/>
              </w:rPr>
            </w:pPr>
          </w:p>
          <w:p w:rsidR="00E24D0A" w:rsidRPr="00B32A39" w:rsidRDefault="00E24D0A" w:rsidP="006B1FF8">
            <w:pPr>
              <w:pStyle w:val="Corpodeltesto"/>
              <w:rPr>
                <w:rFonts w:asciiTheme="minorHAnsi" w:hAnsiTheme="minorHAnsi"/>
                <w:sz w:val="16"/>
                <w:szCs w:val="16"/>
              </w:rPr>
            </w:pPr>
            <w:r w:rsidRPr="00B32A39">
              <w:rPr>
                <w:rFonts w:asciiTheme="minorHAnsi" w:hAnsiTheme="minorHAnsi"/>
                <w:sz w:val="16"/>
                <w:szCs w:val="16"/>
              </w:rPr>
              <w:t>3)-Con voti favorevoli unanimi espressi dai presenti per alzata di mano, dichiarare la presente deliberazione immediatamente esecutiva ai sensi e per gli effetti dell’art. 134, comma 4°, del T.U. 18-12-2000, n. 267.</w:t>
            </w:r>
          </w:p>
          <w:p w:rsidR="00E24D0A" w:rsidRPr="00B32A39" w:rsidRDefault="00E24D0A" w:rsidP="006B1FF8">
            <w:pPr>
              <w:rPr>
                <w:b/>
                <w:sz w:val="16"/>
                <w:szCs w:val="16"/>
              </w:rPr>
            </w:pPr>
          </w:p>
        </w:tc>
        <w:tc>
          <w:tcPr>
            <w:tcW w:w="1719" w:type="dxa"/>
          </w:tcPr>
          <w:p w:rsidR="00E24D0A" w:rsidRPr="0085031C" w:rsidRDefault="00E24D0A" w:rsidP="006B1FF8">
            <w:pPr>
              <w:rPr>
                <w:b/>
                <w:sz w:val="16"/>
                <w:szCs w:val="16"/>
              </w:rPr>
            </w:pPr>
          </w:p>
        </w:tc>
        <w:tc>
          <w:tcPr>
            <w:tcW w:w="1884" w:type="dxa"/>
          </w:tcPr>
          <w:p w:rsidR="00E24D0A" w:rsidRPr="0085031C" w:rsidRDefault="00E24D0A" w:rsidP="006B1FF8">
            <w:pPr>
              <w:rPr>
                <w:b/>
                <w:sz w:val="16"/>
                <w:szCs w:val="16"/>
              </w:rPr>
            </w:pPr>
          </w:p>
        </w:tc>
      </w:tr>
    </w:tbl>
    <w:p w:rsidR="00E24D0A" w:rsidRDefault="00E24D0A" w:rsidP="00E24D0A"/>
    <w:p w:rsidR="00902E5C" w:rsidRDefault="00902E5C"/>
    <w:sectPr w:rsidR="00902E5C" w:rsidSect="004051D9">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7B4"/>
    <w:multiLevelType w:val="hybridMultilevel"/>
    <w:tmpl w:val="2988D26E"/>
    <w:lvl w:ilvl="0" w:tplc="539E45B4">
      <w:start w:val="1"/>
      <w:numFmt w:val="lowerLetter"/>
      <w:lvlText w:val="%1)"/>
      <w:lvlJc w:val="left"/>
      <w:pPr>
        <w:tabs>
          <w:tab w:val="num" w:pos="374"/>
        </w:tabs>
        <w:ind w:left="374" w:hanging="360"/>
      </w:pPr>
      <w:rPr>
        <w:rFonts w:cs="Times New Roman" w:hint="default"/>
        <w:i/>
      </w:rPr>
    </w:lvl>
    <w:lvl w:ilvl="1" w:tplc="04100019" w:tentative="1">
      <w:start w:val="1"/>
      <w:numFmt w:val="lowerLetter"/>
      <w:lvlText w:val="%2."/>
      <w:lvlJc w:val="left"/>
      <w:pPr>
        <w:tabs>
          <w:tab w:val="num" w:pos="1094"/>
        </w:tabs>
        <w:ind w:left="1094" w:hanging="360"/>
      </w:pPr>
      <w:rPr>
        <w:rFonts w:cs="Times New Roman"/>
      </w:rPr>
    </w:lvl>
    <w:lvl w:ilvl="2" w:tplc="0410001B" w:tentative="1">
      <w:start w:val="1"/>
      <w:numFmt w:val="lowerRoman"/>
      <w:lvlText w:val="%3."/>
      <w:lvlJc w:val="right"/>
      <w:pPr>
        <w:tabs>
          <w:tab w:val="num" w:pos="1814"/>
        </w:tabs>
        <w:ind w:left="1814" w:hanging="180"/>
      </w:pPr>
      <w:rPr>
        <w:rFonts w:cs="Times New Roman"/>
      </w:rPr>
    </w:lvl>
    <w:lvl w:ilvl="3" w:tplc="0410000F" w:tentative="1">
      <w:start w:val="1"/>
      <w:numFmt w:val="decimal"/>
      <w:lvlText w:val="%4."/>
      <w:lvlJc w:val="left"/>
      <w:pPr>
        <w:tabs>
          <w:tab w:val="num" w:pos="2534"/>
        </w:tabs>
        <w:ind w:left="2534" w:hanging="360"/>
      </w:pPr>
      <w:rPr>
        <w:rFonts w:cs="Times New Roman"/>
      </w:rPr>
    </w:lvl>
    <w:lvl w:ilvl="4" w:tplc="04100019" w:tentative="1">
      <w:start w:val="1"/>
      <w:numFmt w:val="lowerLetter"/>
      <w:lvlText w:val="%5."/>
      <w:lvlJc w:val="left"/>
      <w:pPr>
        <w:tabs>
          <w:tab w:val="num" w:pos="3254"/>
        </w:tabs>
        <w:ind w:left="3254" w:hanging="360"/>
      </w:pPr>
      <w:rPr>
        <w:rFonts w:cs="Times New Roman"/>
      </w:rPr>
    </w:lvl>
    <w:lvl w:ilvl="5" w:tplc="0410001B" w:tentative="1">
      <w:start w:val="1"/>
      <w:numFmt w:val="lowerRoman"/>
      <w:lvlText w:val="%6."/>
      <w:lvlJc w:val="right"/>
      <w:pPr>
        <w:tabs>
          <w:tab w:val="num" w:pos="3974"/>
        </w:tabs>
        <w:ind w:left="3974" w:hanging="180"/>
      </w:pPr>
      <w:rPr>
        <w:rFonts w:cs="Times New Roman"/>
      </w:rPr>
    </w:lvl>
    <w:lvl w:ilvl="6" w:tplc="0410000F" w:tentative="1">
      <w:start w:val="1"/>
      <w:numFmt w:val="decimal"/>
      <w:lvlText w:val="%7."/>
      <w:lvlJc w:val="left"/>
      <w:pPr>
        <w:tabs>
          <w:tab w:val="num" w:pos="4694"/>
        </w:tabs>
        <w:ind w:left="4694" w:hanging="360"/>
      </w:pPr>
      <w:rPr>
        <w:rFonts w:cs="Times New Roman"/>
      </w:rPr>
    </w:lvl>
    <w:lvl w:ilvl="7" w:tplc="04100019" w:tentative="1">
      <w:start w:val="1"/>
      <w:numFmt w:val="lowerLetter"/>
      <w:lvlText w:val="%8."/>
      <w:lvlJc w:val="left"/>
      <w:pPr>
        <w:tabs>
          <w:tab w:val="num" w:pos="5414"/>
        </w:tabs>
        <w:ind w:left="5414" w:hanging="360"/>
      </w:pPr>
      <w:rPr>
        <w:rFonts w:cs="Times New Roman"/>
      </w:rPr>
    </w:lvl>
    <w:lvl w:ilvl="8" w:tplc="0410001B" w:tentative="1">
      <w:start w:val="1"/>
      <w:numFmt w:val="lowerRoman"/>
      <w:lvlText w:val="%9."/>
      <w:lvlJc w:val="right"/>
      <w:pPr>
        <w:tabs>
          <w:tab w:val="num" w:pos="6134"/>
        </w:tabs>
        <w:ind w:left="6134" w:hanging="180"/>
      </w:pPr>
      <w:rPr>
        <w:rFonts w:cs="Times New Roman"/>
      </w:rPr>
    </w:lvl>
  </w:abstractNum>
  <w:abstractNum w:abstractNumId="1">
    <w:nsid w:val="032F590F"/>
    <w:multiLevelType w:val="hybridMultilevel"/>
    <w:tmpl w:val="948C2FE6"/>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13277AC4"/>
    <w:multiLevelType w:val="singleLevel"/>
    <w:tmpl w:val="F0D478A4"/>
    <w:lvl w:ilvl="0">
      <w:start w:val="1"/>
      <w:numFmt w:val="bullet"/>
      <w:lvlText w:val="-"/>
      <w:lvlJc w:val="left"/>
      <w:pPr>
        <w:tabs>
          <w:tab w:val="num" w:pos="360"/>
        </w:tabs>
      </w:pPr>
      <w:rPr>
        <w:rFonts w:ascii="Symbol" w:hAnsi="Symbol" w:hint="default"/>
      </w:rPr>
    </w:lvl>
  </w:abstractNum>
  <w:abstractNum w:abstractNumId="3">
    <w:nsid w:val="19EA665F"/>
    <w:multiLevelType w:val="hybridMultilevel"/>
    <w:tmpl w:val="34DEA47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25A31CEB"/>
    <w:multiLevelType w:val="hybridMultilevel"/>
    <w:tmpl w:val="91EED8AC"/>
    <w:lvl w:ilvl="0" w:tplc="A3428C86">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27954BCA"/>
    <w:multiLevelType w:val="multilevel"/>
    <w:tmpl w:val="972ABB2C"/>
    <w:lvl w:ilvl="0">
      <w:start w:val="1"/>
      <w:numFmt w:val="decimal"/>
      <w:lvlText w:val="%1."/>
      <w:lvlJc w:val="left"/>
      <w:pPr>
        <w:ind w:left="707" w:hanging="283"/>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abstractNum w:abstractNumId="6">
    <w:nsid w:val="2B580FAE"/>
    <w:multiLevelType w:val="hybridMultilevel"/>
    <w:tmpl w:val="738AF6F8"/>
    <w:lvl w:ilvl="0" w:tplc="79CC1324">
      <w:numFmt w:val="bullet"/>
      <w:lvlText w:val="-"/>
      <w:lvlJc w:val="left"/>
      <w:pPr>
        <w:ind w:left="720" w:hanging="360"/>
      </w:pPr>
      <w:rPr>
        <w:rFonts w:ascii="TimesNewRomanPSMT" w:eastAsia="Times New Roman" w:hAnsi="TimesNewRomanPS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0857A6"/>
    <w:multiLevelType w:val="multilevel"/>
    <w:tmpl w:val="66789872"/>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8">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0C30F2"/>
    <w:multiLevelType w:val="hybridMultilevel"/>
    <w:tmpl w:val="F1C0EDBA"/>
    <w:lvl w:ilvl="0" w:tplc="B60ECE50">
      <w:start w:val="1"/>
      <w:numFmt w:val="decimal"/>
      <w:lvlText w:val="%1)"/>
      <w:lvlJc w:val="left"/>
      <w:pPr>
        <w:tabs>
          <w:tab w:val="num" w:pos="720"/>
        </w:tabs>
        <w:ind w:firstLine="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4FF9571D"/>
    <w:multiLevelType w:val="hybridMultilevel"/>
    <w:tmpl w:val="6B2E4D0A"/>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5DEB3E3E"/>
    <w:multiLevelType w:val="hybridMultilevel"/>
    <w:tmpl w:val="CEA085F0"/>
    <w:lvl w:ilvl="0" w:tplc="940E7F5E">
      <w:start w:val="1"/>
      <w:numFmt w:val="bullet"/>
      <w:lvlText w:val=""/>
      <w:lvlJc w:val="left"/>
      <w:pPr>
        <w:tabs>
          <w:tab w:val="num" w:pos="927"/>
        </w:tabs>
        <w:ind w:firstLine="567"/>
      </w:pPr>
      <w:rPr>
        <w:rFonts w:ascii="Wingdings" w:hAnsi="Wingdings" w:hint="default"/>
      </w:rPr>
    </w:lvl>
    <w:lvl w:ilvl="1" w:tplc="7D36E410">
      <w:start w:val="1"/>
      <w:numFmt w:val="bullet"/>
      <w:lvlText w:val="-"/>
      <w:lvlJc w:val="left"/>
      <w:pPr>
        <w:tabs>
          <w:tab w:val="num" w:pos="1420"/>
        </w:tabs>
        <w:ind w:left="1647" w:hanging="567"/>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61B51DEA"/>
    <w:multiLevelType w:val="multilevel"/>
    <w:tmpl w:val="C8AACED0"/>
    <w:lvl w:ilvl="0">
      <w:start w:val="1"/>
      <w:numFmt w:val="decimal"/>
      <w:lvlText w:val="%1."/>
      <w:lvlJc w:val="left"/>
      <w:pPr>
        <w:ind w:left="707" w:hanging="283"/>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abstractNum w:abstractNumId="13">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4"/>
  </w:num>
  <w:num w:numId="4">
    <w:abstractNumId w:val="3"/>
  </w:num>
  <w:num w:numId="5">
    <w:abstractNumId w:val="0"/>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283"/>
  <w:drawingGridHorizontalSpacing w:val="110"/>
  <w:displayHorizontalDrawingGridEvery w:val="2"/>
  <w:characterSpacingControl w:val="doNotCompress"/>
  <w:compat>
    <w:useFELayout/>
  </w:compat>
  <w:rsids>
    <w:rsidRoot w:val="004051D9"/>
    <w:rsid w:val="0006492B"/>
    <w:rsid w:val="000C0222"/>
    <w:rsid w:val="00100E9E"/>
    <w:rsid w:val="0014205A"/>
    <w:rsid w:val="00147991"/>
    <w:rsid w:val="00161D47"/>
    <w:rsid w:val="00194F97"/>
    <w:rsid w:val="0032688D"/>
    <w:rsid w:val="004051D9"/>
    <w:rsid w:val="0041509C"/>
    <w:rsid w:val="004B006A"/>
    <w:rsid w:val="00587E68"/>
    <w:rsid w:val="005E6B51"/>
    <w:rsid w:val="00686D7A"/>
    <w:rsid w:val="0071176A"/>
    <w:rsid w:val="00902E5C"/>
    <w:rsid w:val="00A119D1"/>
    <w:rsid w:val="00B32A39"/>
    <w:rsid w:val="00BA1B29"/>
    <w:rsid w:val="00C22978"/>
    <w:rsid w:val="00D473A6"/>
    <w:rsid w:val="00E152D4"/>
    <w:rsid w:val="00E24D0A"/>
    <w:rsid w:val="00E73F64"/>
    <w:rsid w:val="00F948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00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05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051D9"/>
    <w:pPr>
      <w:ind w:left="720"/>
      <w:contextualSpacing/>
    </w:pPr>
  </w:style>
  <w:style w:type="paragraph" w:styleId="Corpodeltesto">
    <w:name w:val="Body Text"/>
    <w:basedOn w:val="Normale"/>
    <w:link w:val="CorpodeltestoCarattere"/>
    <w:uiPriority w:val="99"/>
    <w:rsid w:val="0032688D"/>
    <w:pPr>
      <w:spacing w:after="0" w:line="240" w:lineRule="auto"/>
      <w:jc w:val="both"/>
    </w:pPr>
    <w:rPr>
      <w:rFonts w:ascii="Times New Roman" w:eastAsia="Times New Roman" w:hAnsi="Times New Roman" w:cs="Times New Roman"/>
      <w:sz w:val="28"/>
      <w:szCs w:val="28"/>
    </w:rPr>
  </w:style>
  <w:style w:type="character" w:customStyle="1" w:styleId="CorpodeltestoCarattere">
    <w:name w:val="Corpo del testo Carattere"/>
    <w:basedOn w:val="Carpredefinitoparagrafo"/>
    <w:link w:val="Corpodeltesto"/>
    <w:uiPriority w:val="99"/>
    <w:rsid w:val="0032688D"/>
    <w:rPr>
      <w:rFonts w:ascii="Times New Roman" w:eastAsia="Times New Roman" w:hAnsi="Times New Roman" w:cs="Times New Roman"/>
      <w:sz w:val="28"/>
      <w:szCs w:val="28"/>
    </w:rPr>
  </w:style>
  <w:style w:type="paragraph" w:customStyle="1" w:styleId="Default">
    <w:name w:val="Default"/>
    <w:rsid w:val="00587E6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Standard">
    <w:name w:val="Standard"/>
    <w:uiPriority w:val="99"/>
    <w:rsid w:val="00F94862"/>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uiPriority w:val="99"/>
    <w:rsid w:val="00F94862"/>
    <w:pPr>
      <w:spacing w:after="120"/>
    </w:pPr>
  </w:style>
  <w:style w:type="character" w:styleId="Enfasicorsivo">
    <w:name w:val="Emphasis"/>
    <w:basedOn w:val="Carpredefinitoparagrafo"/>
    <w:uiPriority w:val="99"/>
    <w:qFormat/>
    <w:rsid w:val="00F94862"/>
    <w:rPr>
      <w:rFonts w:cs="Times New Roman"/>
      <w:i/>
    </w:rPr>
  </w:style>
  <w:style w:type="paragraph" w:styleId="Nessunaspaziatura">
    <w:name w:val="No Spacing"/>
    <w:uiPriority w:val="99"/>
    <w:qFormat/>
    <w:rsid w:val="0071176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2460</Words>
  <Characters>14027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2014-12-09T12:50:00Z</dcterms:created>
  <dcterms:modified xsi:type="dcterms:W3CDTF">2014-12-30T14:39:00Z</dcterms:modified>
</cp:coreProperties>
</file>